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6"/>
        <w:gridCol w:w="1630"/>
        <w:gridCol w:w="674"/>
        <w:gridCol w:w="712"/>
        <w:gridCol w:w="283"/>
        <w:gridCol w:w="285"/>
        <w:gridCol w:w="1924"/>
        <w:gridCol w:w="1107"/>
        <w:gridCol w:w="269"/>
      </w:tblGrid>
      <w:tr>
        <w:trPr>
          <w:trHeight w:val="1104" w:hRule="atLeast"/>
          <w:cantSplit/>
        </w:trPr>
        <w:tc>
          <w:tcPr>
            <w:tcW w:w="2162"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8"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2"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ID.7</w:t>
            </w:r>
          </w:p>
          <w:p>
            <w:pPr>
              <w:pStyle w:val="Normal"/>
              <w:rPr>
                <w:rFonts w:ascii="Arial" w:hAnsi="Arial" w:cs="Arial"/>
              </w:rPr>
            </w:pPr>
            <w:r>
              <w:rPr>
                <w:rFonts w:cs="Arial" w:ascii="Arial" w:hAnsi="Arial"/>
              </w:rPr>
              <w:t>NZ.1-8</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Grid Capacity &amp; Energy Infrastructure Objection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§§152–158)</w:t>
            </w:r>
            <w:r>
              <w:rPr/>
              <w:t xml:space="preserve"> Ref: </w:t>
            </w:r>
            <w:r>
              <w:rPr>
                <w:rStyle w:val="Emphasis"/>
                <w:lang w:val="en-GB" w:eastAsia="en-GB" w:bidi="ar-SA"/>
              </w:rPr>
              <w:t>SWLP Reg 19 Publication Version</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on the grounds that the plan provides </w:t>
            </w:r>
            <w:r>
              <w:rPr>
                <w:rStyle w:val="Strong"/>
                <w:lang w:val="en-GB" w:eastAsia="en-GB" w:bidi="ar-SA"/>
              </w:rPr>
              <w:t>no evidence</w:t>
            </w:r>
            <w:r>
              <w:rPr/>
              <w:t xml:space="preserve"> that the development can be connected to the national electricity grid or supplied with sufficient energy infrastructure.</w:t>
            </w:r>
          </w:p>
          <w:p>
            <w:pPr>
              <w:pStyle w:val="NormalWeb"/>
              <w:bidi w:val="0"/>
              <w:spacing w:before="100" w:after="100"/>
              <w:rPr>
                <w:rFonts w:ascii="Times New Roman" w:hAnsi="Times New Roman"/>
              </w:rPr>
            </w:pPr>
            <w:r>
              <w:rPr/>
              <w:t xml:space="preserve">The SWLP Reg 19 Publication Version contains </w:t>
            </w:r>
            <w:r>
              <w:rPr>
                <w:rStyle w:val="Strong"/>
                <w:lang w:val="en-GB" w:eastAsia="en-GB" w:bidi="ar-SA"/>
              </w:rPr>
              <w:t>no grid capacity assessment</w:t>
            </w:r>
            <w:r>
              <w:rPr/>
              <w:t xml:space="preserve">, </w:t>
            </w:r>
            <w:r>
              <w:rPr>
                <w:rStyle w:val="Strong"/>
                <w:lang w:val="en-GB" w:eastAsia="en-GB" w:bidi="ar-SA"/>
              </w:rPr>
              <w:t>no connection feasibility study</w:t>
            </w:r>
            <w:r>
              <w:rPr/>
              <w:t xml:space="preserve">, </w:t>
            </w:r>
            <w:r>
              <w:rPr>
                <w:rStyle w:val="Strong"/>
                <w:lang w:val="en-GB" w:eastAsia="en-GB" w:bidi="ar-SA"/>
              </w:rPr>
              <w:t>no clear substation location</w:t>
            </w:r>
            <w:r>
              <w:rPr/>
              <w:t xml:space="preserve">, </w:t>
            </w:r>
            <w:r>
              <w:rPr>
                <w:rStyle w:val="Strong"/>
                <w:lang w:val="en-GB" w:eastAsia="en-GB" w:bidi="ar-SA"/>
              </w:rPr>
              <w:t>no high</w:t>
              <w:noBreakHyphen/>
              <w:t>voltage cable corridor</w:t>
            </w:r>
            <w:r>
              <w:rPr/>
              <w:t xml:space="preserve">, and </w:t>
            </w:r>
            <w:r>
              <w:rPr>
                <w:rStyle w:val="Strong"/>
                <w:lang w:val="en-GB" w:eastAsia="en-GB" w:bidi="ar-SA"/>
              </w:rPr>
              <w:t>no delivery plan</w:t>
            </w:r>
            <w:r>
              <w:rPr/>
              <w:t xml:space="preserve"> for the energy infrastructure required to support a town</w:t>
              <w:noBreakHyphen/>
              <w:t>scale new settlement.</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Relevant SWLP References</w:t>
            </w:r>
          </w:p>
          <w:p>
            <w:pPr>
              <w:pStyle w:val="NormalWeb"/>
              <w:numPr>
                <w:ilvl w:val="0"/>
                <w:numId w:val="10"/>
              </w:numPr>
              <w:tabs>
                <w:tab w:val="left" w:pos="720" w:leader="none"/>
              </w:tabs>
              <w:bidi w:val="0"/>
              <w:spacing w:before="100" w:after="0"/>
              <w:rPr/>
            </w:pPr>
            <w:r>
              <w:rPr>
                <w:rStyle w:val="Strong"/>
                <w:lang w:val="en-GB" w:eastAsia="en-GB" w:bidi="ar-SA"/>
              </w:rPr>
              <w:t>Proposal LMA – Section 8.2</w:t>
            </w:r>
            <w:r>
              <w:rPr/>
              <w:t xml:space="preserve"> (no mention of grid capacity)</w:t>
            </w:r>
          </w:p>
          <w:p>
            <w:pPr>
              <w:pStyle w:val="NormalWeb"/>
              <w:numPr>
                <w:ilvl w:val="0"/>
                <w:numId w:val="10"/>
              </w:numPr>
              <w:tabs>
                <w:tab w:val="left" w:pos="720" w:leader="none"/>
              </w:tabs>
              <w:bidi w:val="0"/>
              <w:spacing w:before="0" w:after="0"/>
              <w:rPr/>
            </w:pPr>
            <w:r>
              <w:rPr>
                <w:rStyle w:val="Strong"/>
                <w:lang w:val="en-GB" w:eastAsia="en-GB" w:bidi="ar-SA"/>
              </w:rPr>
              <w:t>ID.7 – Utilities Infrastructure</w:t>
            </w:r>
            <w:r>
              <w:rPr/>
              <w:t xml:space="preserve"> (requires evidence of capacity and deliverability)</w:t>
            </w:r>
          </w:p>
          <w:p>
            <w:pPr>
              <w:pStyle w:val="NormalWeb"/>
              <w:numPr>
                <w:ilvl w:val="0"/>
                <w:numId w:val="10"/>
              </w:numPr>
              <w:tabs>
                <w:tab w:val="left" w:pos="720" w:leader="none"/>
              </w:tabs>
              <w:bidi w:val="0"/>
              <w:spacing w:before="0" w:after="100"/>
              <w:rPr>
                <w:rFonts w:ascii="Times New Roman" w:hAnsi="Times New Roman"/>
              </w:rPr>
            </w:pPr>
            <w:r>
              <w:rPr>
                <w:rStyle w:val="Strong"/>
                <w:lang w:val="en-GB" w:eastAsia="en-GB" w:bidi="ar-SA"/>
              </w:rPr>
              <w:t>NZ policies (NZ.1–NZ.8)</w:t>
            </w:r>
            <w:r>
              <w:rPr/>
              <w:t xml:space="preserve"> (increase electrical demand through heat pumps, EV charging, net</w:t>
              <w:noBreakHyphen/>
              <w:t>zero design)</w:t>
            </w:r>
          </w:p>
          <w:p>
            <w:pPr>
              <w:pStyle w:val="NormalWeb"/>
              <w:bidi w:val="0"/>
              <w:spacing w:before="100" w:after="100"/>
              <w:rPr>
                <w:rFonts w:ascii="Times New Roman" w:hAnsi="Times New Roman"/>
              </w:rPr>
            </w:pPr>
            <w:r>
              <w:rPr/>
              <w:t xml:space="preserve">The Reg 19 document does </w:t>
            </w:r>
            <w:r>
              <w:rPr>
                <w:rStyle w:val="Strong"/>
                <w:lang w:val="en-GB" w:eastAsia="en-GB" w:bidi="ar-SA"/>
              </w:rPr>
              <w:t>not</w:t>
            </w:r>
            <w:r>
              <w:rPr/>
              <w:t xml:space="preserve"> demonstrate compliance with these policies.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proportionate evidence of grid capacity</w:t>
            </w:r>
          </w:p>
          <w:p>
            <w:pPr>
              <w:pStyle w:val="NormalWeb"/>
              <w:bidi w:val="0"/>
              <w:spacing w:before="100" w:after="100"/>
              <w:rPr>
                <w:rFonts w:ascii="Times New Roman" w:hAnsi="Times New Roman"/>
              </w:rPr>
            </w:pPr>
            <w:r>
              <w:rPr/>
              <w:t>A town</w:t>
              <w:noBreakHyphen/>
              <w:t>scale settlement of 4,000+ homes plus employment land typically requires:</w:t>
            </w:r>
          </w:p>
          <w:p>
            <w:pPr>
              <w:pStyle w:val="NormalWeb"/>
              <w:numPr>
                <w:ilvl w:val="0"/>
                <w:numId w:val="11"/>
              </w:numPr>
              <w:tabs>
                <w:tab w:val="left" w:pos="720" w:leader="none"/>
              </w:tabs>
              <w:bidi w:val="0"/>
              <w:spacing w:before="100" w:after="0"/>
              <w:rPr/>
            </w:pPr>
            <w:r>
              <w:rPr/>
              <w:t xml:space="preserve">A </w:t>
            </w:r>
            <w:r>
              <w:rPr>
                <w:rStyle w:val="Strong"/>
                <w:lang w:val="en-GB" w:eastAsia="en-GB" w:bidi="ar-SA"/>
              </w:rPr>
              <w:t>new 33kV/11kV primary substation</w:t>
            </w:r>
          </w:p>
          <w:p>
            <w:pPr>
              <w:pStyle w:val="NormalWeb"/>
              <w:numPr>
                <w:ilvl w:val="0"/>
                <w:numId w:val="11"/>
              </w:numPr>
              <w:tabs>
                <w:tab w:val="left" w:pos="720" w:leader="none"/>
              </w:tabs>
              <w:bidi w:val="0"/>
              <w:spacing w:before="0" w:after="0"/>
              <w:rPr/>
            </w:pPr>
            <w:r>
              <w:rPr/>
              <w:t xml:space="preserve">A </w:t>
            </w:r>
            <w:r>
              <w:rPr>
                <w:rStyle w:val="Strong"/>
                <w:lang w:val="en-GB" w:eastAsia="en-GB" w:bidi="ar-SA"/>
              </w:rPr>
              <w:t>new high</w:t>
              <w:noBreakHyphen/>
              <w:t>voltage (HV) connection</w:t>
            </w:r>
            <w:r>
              <w:rPr/>
              <w:t xml:space="preserve"> to the nearest grid node</w:t>
            </w:r>
          </w:p>
          <w:p>
            <w:pPr>
              <w:pStyle w:val="NormalWeb"/>
              <w:numPr>
                <w:ilvl w:val="0"/>
                <w:numId w:val="11"/>
              </w:numPr>
              <w:tabs>
                <w:tab w:val="left" w:pos="720" w:leader="none"/>
              </w:tabs>
              <w:bidi w:val="0"/>
              <w:spacing w:before="0" w:after="0"/>
              <w:rPr/>
            </w:pPr>
            <w:r>
              <w:rPr>
                <w:rStyle w:val="Strong"/>
                <w:lang w:val="en-GB" w:eastAsia="en-GB" w:bidi="ar-SA"/>
              </w:rPr>
              <w:t>20–40 MVA</w:t>
            </w:r>
            <w:r>
              <w:rPr/>
              <w:t xml:space="preserve"> of new electrical capacity</w:t>
            </w:r>
          </w:p>
          <w:p>
            <w:pPr>
              <w:pStyle w:val="NormalWeb"/>
              <w:numPr>
                <w:ilvl w:val="0"/>
                <w:numId w:val="11"/>
              </w:numPr>
              <w:tabs>
                <w:tab w:val="left" w:pos="720" w:leader="none"/>
              </w:tabs>
              <w:bidi w:val="0"/>
              <w:spacing w:before="0" w:after="100"/>
              <w:rPr>
                <w:rFonts w:ascii="Times New Roman" w:hAnsi="Times New Roman"/>
              </w:rPr>
            </w:pPr>
            <w:r>
              <w:rPr>
                <w:rStyle w:val="Strong"/>
                <w:lang w:val="en-GB" w:eastAsia="en-GB" w:bidi="ar-SA"/>
              </w:rPr>
              <w:t>Grid reinforcement</w:t>
            </w:r>
            <w:r>
              <w:rPr/>
              <w:t xml:space="preserve"> at regional level</w:t>
            </w:r>
          </w:p>
          <w:p>
            <w:pPr>
              <w:pStyle w:val="NormalWeb"/>
              <w:bidi w:val="0"/>
              <w:spacing w:before="100" w:after="100"/>
              <w:rPr>
                <w:rFonts w:ascii="Times New Roman" w:hAnsi="Times New Roman"/>
              </w:rPr>
            </w:pPr>
            <w:r>
              <w:rPr/>
              <w:t>None of this is evidenced in the Reg 19 plan.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No identification of connection point</w:t>
            </w:r>
          </w:p>
          <w:p>
            <w:pPr>
              <w:pStyle w:val="NormalWeb"/>
              <w:bidi w:val="0"/>
              <w:spacing w:before="100" w:after="100"/>
              <w:rPr>
                <w:rFonts w:ascii="Times New Roman" w:hAnsi="Times New Roman"/>
              </w:rPr>
            </w:pPr>
            <w:r>
              <w:rPr/>
              <w:t>The SWLP does not identify:</w:t>
            </w:r>
          </w:p>
          <w:p>
            <w:pPr>
              <w:pStyle w:val="NormalWeb"/>
              <w:numPr>
                <w:ilvl w:val="0"/>
                <w:numId w:val="3"/>
              </w:numPr>
              <w:tabs>
                <w:tab w:val="left" w:pos="720" w:leader="none"/>
              </w:tabs>
              <w:bidi w:val="0"/>
              <w:spacing w:before="100" w:after="0"/>
              <w:ind w:hanging="360" w:left="720" w:right="0"/>
              <w:rPr>
                <w:rFonts w:ascii="Times New Roman" w:hAnsi="Times New Roman"/>
              </w:rPr>
            </w:pPr>
            <w:r>
              <w:rPr/>
              <w:t>which National Grid node LMA would connect to</w:t>
            </w:r>
          </w:p>
          <w:p>
            <w:pPr>
              <w:pStyle w:val="NormalWeb"/>
              <w:numPr>
                <w:ilvl w:val="0"/>
                <w:numId w:val="3"/>
              </w:numPr>
              <w:tabs>
                <w:tab w:val="left" w:pos="720" w:leader="none"/>
              </w:tabs>
              <w:bidi w:val="0"/>
              <w:spacing w:before="0" w:after="0"/>
              <w:ind w:hanging="360" w:left="720" w:right="0"/>
              <w:rPr>
                <w:rFonts w:ascii="Times New Roman" w:hAnsi="Times New Roman"/>
              </w:rPr>
            </w:pPr>
            <w:r>
              <w:rPr/>
              <w:t>whether Stratford’s existing grid infrastructure has spare capacity</w:t>
            </w:r>
          </w:p>
          <w:p>
            <w:pPr>
              <w:pStyle w:val="NormalWeb"/>
              <w:numPr>
                <w:ilvl w:val="0"/>
                <w:numId w:val="3"/>
              </w:numPr>
              <w:tabs>
                <w:tab w:val="left" w:pos="720" w:leader="none"/>
              </w:tabs>
              <w:bidi w:val="0"/>
              <w:spacing w:before="0" w:after="0"/>
              <w:ind w:hanging="360" w:left="720" w:right="0"/>
              <w:rPr>
                <w:rFonts w:ascii="Times New Roman" w:hAnsi="Times New Roman"/>
              </w:rPr>
            </w:pPr>
            <w:r>
              <w:rPr/>
              <w:t>whether reinforcement is required</w:t>
            </w:r>
          </w:p>
          <w:p>
            <w:pPr>
              <w:pStyle w:val="NormalWeb"/>
              <w:numPr>
                <w:ilvl w:val="0"/>
                <w:numId w:val="3"/>
              </w:numPr>
              <w:tabs>
                <w:tab w:val="left" w:pos="720" w:leader="none"/>
              </w:tabs>
              <w:bidi w:val="0"/>
              <w:spacing w:before="0" w:after="100"/>
              <w:ind w:hanging="360" w:left="720" w:right="0"/>
              <w:rPr>
                <w:rFonts w:ascii="Times New Roman" w:hAnsi="Times New Roman"/>
              </w:rPr>
            </w:pPr>
            <w:r>
              <w:rPr/>
              <w:t>whether connection is technically feasible</w:t>
            </w:r>
          </w:p>
          <w:p>
            <w:pPr>
              <w:pStyle w:val="NormalWeb"/>
              <w:bidi w:val="0"/>
              <w:spacing w:before="100" w:after="100"/>
              <w:rPr>
                <w:rFonts w:ascii="Times New Roman" w:hAnsi="Times New Roman"/>
              </w:rPr>
            </w:pPr>
            <w:r>
              <w:rPr/>
              <w:t>This is a fundamental evidence gap.</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 feasibility or cost assessment</w:t>
            </w:r>
          </w:p>
          <w:p>
            <w:pPr>
              <w:pStyle w:val="NormalWeb"/>
              <w:bidi w:val="0"/>
              <w:spacing w:before="100" w:after="100"/>
              <w:rPr>
                <w:rFonts w:ascii="Times New Roman" w:hAnsi="Times New Roman"/>
              </w:rPr>
            </w:pPr>
            <w:r>
              <w:rPr/>
              <w:t xml:space="preserve">Grid connections of this scale typically cost </w:t>
            </w:r>
            <w:r>
              <w:rPr>
                <w:rStyle w:val="Strong"/>
                <w:lang w:val="en-GB" w:eastAsia="en-GB" w:bidi="ar-SA"/>
              </w:rPr>
              <w:t>£10–£20 million</w:t>
            </w:r>
            <w:r>
              <w:rPr/>
              <w:t xml:space="preserve"> and require </w:t>
            </w:r>
            <w:r>
              <w:rPr>
                <w:rStyle w:val="Strong"/>
                <w:lang w:val="en-GB" w:eastAsia="en-GB" w:bidi="ar-SA"/>
              </w:rPr>
              <w:t>8–12 years</w:t>
            </w:r>
            <w:r>
              <w:rPr/>
              <w:t xml:space="preserve"> to deliver. The SWLP provides </w:t>
            </w:r>
            <w:r>
              <w:rPr>
                <w:rStyle w:val="Strong"/>
                <w:lang w:val="en-GB" w:eastAsia="en-GB" w:bidi="ar-SA"/>
              </w:rPr>
              <w:t>no costings</w:t>
            </w:r>
            <w:r>
              <w:rPr/>
              <w:t xml:space="preserve">, </w:t>
            </w:r>
            <w:r>
              <w:rPr>
                <w:rStyle w:val="Strong"/>
                <w:lang w:val="en-GB" w:eastAsia="en-GB" w:bidi="ar-SA"/>
              </w:rPr>
              <w:t>no phasing</w:t>
            </w:r>
            <w:r>
              <w:rPr/>
              <w:t xml:space="preserve">, and </w:t>
            </w:r>
            <w:r>
              <w:rPr>
                <w:rStyle w:val="Strong"/>
                <w:lang w:val="en-GB" w:eastAsia="en-GB" w:bidi="ar-SA"/>
              </w:rPr>
              <w:t>no delivery partners</w:t>
            </w:r>
            <w:r>
              <w:rPr/>
              <w:t>.</w:t>
            </w:r>
          </w:p>
          <w:p>
            <w:pPr>
              <w:pStyle w:val="NormalWeb"/>
              <w:bidi w:val="0"/>
              <w:spacing w:before="100" w:after="100"/>
              <w:rPr>
                <w:rFonts w:ascii="Times New Roman" w:hAnsi="Times New Roman"/>
              </w:rPr>
            </w:pPr>
            <w:r>
              <w:rPr/>
              <w:t>This fails NPPF §31 (proportionate evidence) and §35 (justified strategy).</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No deliverable energy infrastructure plan</w:t>
            </w:r>
          </w:p>
          <w:p>
            <w:pPr>
              <w:pStyle w:val="NormalWeb"/>
              <w:bidi w:val="0"/>
              <w:spacing w:before="100" w:after="100"/>
              <w:rPr>
                <w:rFonts w:ascii="Times New Roman" w:hAnsi="Times New Roman"/>
              </w:rPr>
            </w:pPr>
            <w:r>
              <w:rPr/>
              <w:t>The plan does not include:</w:t>
            </w:r>
          </w:p>
          <w:p>
            <w:pPr>
              <w:pStyle w:val="NormalWeb"/>
              <w:numPr>
                <w:ilvl w:val="0"/>
                <w:numId w:val="4"/>
              </w:numPr>
              <w:tabs>
                <w:tab w:val="left" w:pos="720" w:leader="none"/>
              </w:tabs>
              <w:bidi w:val="0"/>
              <w:spacing w:before="100" w:after="0"/>
              <w:ind w:hanging="360" w:left="720" w:right="0"/>
              <w:rPr>
                <w:rFonts w:ascii="Times New Roman" w:hAnsi="Times New Roman"/>
              </w:rPr>
            </w:pPr>
            <w:r>
              <w:rPr/>
              <w:t>a clear site for a new primary substation</w:t>
            </w:r>
          </w:p>
          <w:p>
            <w:pPr>
              <w:pStyle w:val="NormalWeb"/>
              <w:numPr>
                <w:ilvl w:val="0"/>
                <w:numId w:val="4"/>
              </w:numPr>
              <w:tabs>
                <w:tab w:val="left" w:pos="720" w:leader="none"/>
              </w:tabs>
              <w:bidi w:val="0"/>
              <w:spacing w:before="0" w:after="0"/>
              <w:ind w:hanging="360" w:left="720" w:right="0"/>
              <w:rPr>
                <w:rFonts w:ascii="Times New Roman" w:hAnsi="Times New Roman"/>
              </w:rPr>
            </w:pPr>
            <w:r>
              <w:rPr/>
              <w:t>a safeguarded corridor for HV cables</w:t>
            </w:r>
          </w:p>
          <w:p>
            <w:pPr>
              <w:pStyle w:val="NormalWeb"/>
              <w:numPr>
                <w:ilvl w:val="0"/>
                <w:numId w:val="4"/>
              </w:numPr>
              <w:tabs>
                <w:tab w:val="left" w:pos="720" w:leader="none"/>
              </w:tabs>
              <w:bidi w:val="0"/>
              <w:spacing w:before="0" w:after="0"/>
              <w:ind w:hanging="360" w:left="720" w:right="0"/>
              <w:rPr>
                <w:rFonts w:ascii="Times New Roman" w:hAnsi="Times New Roman"/>
              </w:rPr>
            </w:pPr>
            <w:r>
              <w:rPr/>
              <w:t>a delivery timeline</w:t>
            </w:r>
          </w:p>
          <w:p>
            <w:pPr>
              <w:pStyle w:val="NormalWeb"/>
              <w:numPr>
                <w:ilvl w:val="0"/>
                <w:numId w:val="4"/>
              </w:numPr>
              <w:tabs>
                <w:tab w:val="left" w:pos="720" w:leader="none"/>
              </w:tabs>
              <w:bidi w:val="0"/>
              <w:spacing w:before="0" w:after="0"/>
              <w:ind w:hanging="360" w:left="720" w:right="0"/>
              <w:rPr>
                <w:rFonts w:ascii="Times New Roman" w:hAnsi="Times New Roman"/>
              </w:rPr>
            </w:pPr>
            <w:r>
              <w:rPr/>
              <w:t>a funding mechanism</w:t>
            </w:r>
          </w:p>
          <w:p>
            <w:pPr>
              <w:pStyle w:val="NormalWeb"/>
              <w:numPr>
                <w:ilvl w:val="0"/>
                <w:numId w:val="4"/>
              </w:numPr>
              <w:tabs>
                <w:tab w:val="left" w:pos="720" w:leader="none"/>
              </w:tabs>
              <w:bidi w:val="0"/>
              <w:spacing w:before="0" w:after="0"/>
              <w:ind w:hanging="360" w:left="720" w:right="0"/>
              <w:rPr>
                <w:rFonts w:ascii="Times New Roman" w:hAnsi="Times New Roman"/>
              </w:rPr>
            </w:pPr>
            <w:r>
              <w:rPr/>
              <w:t>a risk assessment</w:t>
            </w:r>
          </w:p>
          <w:p>
            <w:pPr>
              <w:pStyle w:val="NormalWeb"/>
              <w:numPr>
                <w:ilvl w:val="0"/>
                <w:numId w:val="4"/>
              </w:numPr>
              <w:tabs>
                <w:tab w:val="left" w:pos="720" w:leader="none"/>
              </w:tabs>
              <w:bidi w:val="0"/>
              <w:spacing w:before="0" w:after="100"/>
              <w:ind w:hanging="360" w:left="720" w:right="0"/>
              <w:rPr>
                <w:rFonts w:ascii="Times New Roman" w:hAnsi="Times New Roman"/>
              </w:rPr>
            </w:pPr>
            <w:r>
              <w:rPr/>
              <w:t>a contingency plan</w:t>
            </w:r>
          </w:p>
          <w:p>
            <w:pPr>
              <w:pStyle w:val="NormalWeb"/>
              <w:bidi w:val="0"/>
              <w:spacing w:before="100" w:after="100"/>
              <w:rPr>
                <w:rFonts w:ascii="Times New Roman" w:hAnsi="Times New Roman"/>
              </w:rPr>
            </w:pPr>
            <w:r>
              <w:rPr/>
              <w:t>Without these, LMA cannot be delivered.</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Conflict with infrastructure-first policies (ID.1, ID.7)</w:t>
            </w:r>
          </w:p>
          <w:p>
            <w:pPr>
              <w:pStyle w:val="NormalWeb"/>
              <w:bidi w:val="0"/>
              <w:spacing w:before="100" w:after="100"/>
              <w:rPr>
                <w:rFonts w:ascii="Times New Roman" w:hAnsi="Times New Roman"/>
              </w:rPr>
            </w:pPr>
            <w:r>
              <w:rPr/>
              <w:t>ID.7 requires:</w:t>
            </w:r>
          </w:p>
          <w:p>
            <w:pPr>
              <w:pStyle w:val="NormalWeb"/>
              <w:numPr>
                <w:ilvl w:val="0"/>
                <w:numId w:val="5"/>
              </w:numPr>
              <w:tabs>
                <w:tab w:val="left" w:pos="720" w:leader="none"/>
              </w:tabs>
              <w:bidi w:val="0"/>
              <w:spacing w:before="100" w:after="0"/>
              <w:ind w:hanging="360" w:left="720" w:right="0"/>
              <w:rPr>
                <w:rFonts w:ascii="Times New Roman" w:hAnsi="Times New Roman"/>
              </w:rPr>
            </w:pPr>
            <w:r>
              <w:rPr/>
              <w:t>evidence of utilities capacity</w:t>
            </w:r>
          </w:p>
          <w:p>
            <w:pPr>
              <w:pStyle w:val="NormalWeb"/>
              <w:numPr>
                <w:ilvl w:val="0"/>
                <w:numId w:val="5"/>
              </w:numPr>
              <w:tabs>
                <w:tab w:val="left" w:pos="720" w:leader="none"/>
              </w:tabs>
              <w:bidi w:val="0"/>
              <w:spacing w:before="0" w:after="0"/>
              <w:ind w:hanging="360" w:left="720" w:right="0"/>
              <w:rPr>
                <w:rFonts w:ascii="Times New Roman" w:hAnsi="Times New Roman"/>
              </w:rPr>
            </w:pPr>
            <w:r>
              <w:rPr/>
              <w:t>early delivery</w:t>
            </w:r>
          </w:p>
          <w:p>
            <w:pPr>
              <w:pStyle w:val="NormalWeb"/>
              <w:numPr>
                <w:ilvl w:val="0"/>
                <w:numId w:val="5"/>
              </w:numPr>
              <w:tabs>
                <w:tab w:val="left" w:pos="720" w:leader="none"/>
              </w:tabs>
              <w:bidi w:val="0"/>
              <w:spacing w:before="0" w:after="0"/>
              <w:ind w:hanging="360" w:left="720" w:right="0"/>
              <w:rPr>
                <w:rFonts w:ascii="Times New Roman" w:hAnsi="Times New Roman"/>
              </w:rPr>
            </w:pPr>
            <w:r>
              <w:rPr/>
              <w:t>coordination with providers</w:t>
            </w:r>
          </w:p>
          <w:p>
            <w:pPr>
              <w:pStyle w:val="NormalWeb"/>
              <w:numPr>
                <w:ilvl w:val="0"/>
                <w:numId w:val="5"/>
              </w:numPr>
              <w:tabs>
                <w:tab w:val="left" w:pos="720" w:leader="none"/>
              </w:tabs>
              <w:bidi w:val="0"/>
              <w:spacing w:before="0" w:after="100"/>
              <w:ind w:hanging="360" w:left="720" w:right="0"/>
              <w:rPr>
                <w:rFonts w:ascii="Times New Roman" w:hAnsi="Times New Roman"/>
              </w:rPr>
            </w:pPr>
            <w:r>
              <w:rPr/>
              <w:t>infrastructure-first phasing</w:t>
            </w:r>
          </w:p>
          <w:p>
            <w:pPr>
              <w:pStyle w:val="NormalWeb"/>
              <w:bidi w:val="0"/>
              <w:spacing w:before="100" w:after="100"/>
              <w:rPr>
                <w:rFonts w:ascii="Times New Roman" w:hAnsi="Times New Roman"/>
              </w:rPr>
            </w:pPr>
            <w:r>
              <w:rPr/>
              <w:t>None of this is provided for LMA.</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Net Zero policies increase demand</w:t>
            </w:r>
          </w:p>
          <w:p>
            <w:pPr>
              <w:pStyle w:val="NormalWeb"/>
              <w:bidi w:val="0"/>
              <w:spacing w:before="100" w:after="100"/>
              <w:rPr>
                <w:rFonts w:ascii="Times New Roman" w:hAnsi="Times New Roman"/>
              </w:rPr>
            </w:pPr>
            <w:r>
              <w:rPr/>
              <w:t>NZ.1–NZ.8 require:</w:t>
            </w:r>
          </w:p>
          <w:p>
            <w:pPr>
              <w:pStyle w:val="NormalWeb"/>
              <w:numPr>
                <w:ilvl w:val="0"/>
                <w:numId w:val="6"/>
              </w:numPr>
              <w:tabs>
                <w:tab w:val="left" w:pos="720" w:leader="none"/>
              </w:tabs>
              <w:bidi w:val="0"/>
              <w:spacing w:before="100" w:after="0"/>
              <w:ind w:hanging="360" w:left="720" w:right="0"/>
              <w:rPr>
                <w:rFonts w:ascii="Times New Roman" w:hAnsi="Times New Roman"/>
              </w:rPr>
            </w:pPr>
            <w:r>
              <w:rPr/>
              <w:t>heat pumps</w:t>
            </w:r>
          </w:p>
          <w:p>
            <w:pPr>
              <w:pStyle w:val="NormalWeb"/>
              <w:numPr>
                <w:ilvl w:val="0"/>
                <w:numId w:val="6"/>
              </w:numPr>
              <w:tabs>
                <w:tab w:val="left" w:pos="720" w:leader="none"/>
              </w:tabs>
              <w:bidi w:val="0"/>
              <w:spacing w:before="0" w:after="0"/>
              <w:ind w:hanging="360" w:left="720" w:right="0"/>
              <w:rPr>
                <w:rFonts w:ascii="Times New Roman" w:hAnsi="Times New Roman"/>
              </w:rPr>
            </w:pPr>
            <w:r>
              <w:rPr/>
              <w:t>EV charging</w:t>
            </w:r>
          </w:p>
          <w:p>
            <w:pPr>
              <w:pStyle w:val="NormalWeb"/>
              <w:numPr>
                <w:ilvl w:val="0"/>
                <w:numId w:val="6"/>
              </w:numPr>
              <w:tabs>
                <w:tab w:val="left" w:pos="720" w:leader="none"/>
              </w:tabs>
              <w:bidi w:val="0"/>
              <w:spacing w:before="0" w:after="0"/>
              <w:ind w:hanging="360" w:left="720" w:right="0"/>
              <w:rPr>
                <w:rFonts w:ascii="Times New Roman" w:hAnsi="Times New Roman"/>
              </w:rPr>
            </w:pPr>
            <w:r>
              <w:rPr/>
              <w:t>high energy performance</w:t>
            </w:r>
          </w:p>
          <w:p>
            <w:pPr>
              <w:pStyle w:val="NormalWeb"/>
              <w:numPr>
                <w:ilvl w:val="0"/>
                <w:numId w:val="6"/>
              </w:numPr>
              <w:tabs>
                <w:tab w:val="left" w:pos="720" w:leader="none"/>
              </w:tabs>
              <w:bidi w:val="0"/>
              <w:spacing w:before="0" w:after="100"/>
              <w:ind w:hanging="360" w:left="720" w:right="0"/>
              <w:rPr>
                <w:rFonts w:ascii="Times New Roman" w:hAnsi="Times New Roman"/>
              </w:rPr>
            </w:pPr>
            <w:r>
              <w:rPr/>
              <w:t>decentralised energy systems</w:t>
            </w:r>
          </w:p>
          <w:p>
            <w:pPr>
              <w:pStyle w:val="NormalWeb"/>
              <w:bidi w:val="0"/>
              <w:spacing w:before="100" w:after="100"/>
              <w:rPr>
                <w:rFonts w:ascii="Times New Roman" w:hAnsi="Times New Roman"/>
              </w:rPr>
            </w:pPr>
            <w:r>
              <w:rPr/>
              <w:t xml:space="preserve">These significantly increase peak electrical load. Yet the SWLP provides </w:t>
            </w:r>
            <w:r>
              <w:rPr>
                <w:rStyle w:val="Strong"/>
                <w:lang w:val="en-GB" w:eastAsia="en-GB" w:bidi="ar-SA"/>
              </w:rPr>
              <w:t>no evidence</w:t>
            </w:r>
            <w:r>
              <w:rPr/>
              <w:t xml:space="preserve"> that the grid can support this.</w:t>
            </w:r>
          </w:p>
          <w:p>
            <w:pPr>
              <w:pStyle w:val="NormalWeb"/>
              <w:bidi w:val="0"/>
              <w:spacing w:before="100" w:after="100"/>
              <w:rPr>
                <w:rFonts w:ascii="Times New Roman" w:hAnsi="Times New Roman"/>
              </w:rPr>
            </w:pPr>
            <w:r>
              <w:rPr/>
              <w:t xml:space="preserve">This makes the allocation </w:t>
            </w:r>
            <w:r>
              <w:rPr>
                <w:rStyle w:val="Strong"/>
                <w:lang w:val="en-GB" w:eastAsia="en-GB" w:bidi="ar-SA"/>
              </w:rPr>
              <w:t>not effective</w:t>
            </w:r>
            <w:r>
              <w:rPr/>
              <w: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§§152–158)</w:t>
            </w:r>
          </w:p>
          <w:p>
            <w:pPr>
              <w:pStyle w:val="NormalWeb"/>
              <w:bidi w:val="0"/>
              <w:spacing w:before="100" w:after="100"/>
              <w:rPr>
                <w:rFonts w:ascii="Times New Roman" w:hAnsi="Times New Roman"/>
              </w:rPr>
            </w:pPr>
            <w:r>
              <w:rPr/>
              <w:t>NPPF requires:</w:t>
            </w:r>
          </w:p>
          <w:p>
            <w:pPr>
              <w:pStyle w:val="NormalWeb"/>
              <w:numPr>
                <w:ilvl w:val="0"/>
                <w:numId w:val="7"/>
              </w:numPr>
              <w:tabs>
                <w:tab w:val="left" w:pos="720" w:leader="none"/>
              </w:tabs>
              <w:bidi w:val="0"/>
              <w:spacing w:before="100" w:after="0"/>
              <w:ind w:hanging="360" w:left="720" w:right="0"/>
              <w:rPr>
                <w:rFonts w:ascii="Times New Roman" w:hAnsi="Times New Roman"/>
              </w:rPr>
            </w:pPr>
            <w:r>
              <w:rPr/>
              <w:t>climate-resilient energy infrastructure</w:t>
            </w:r>
          </w:p>
          <w:p>
            <w:pPr>
              <w:pStyle w:val="NormalWeb"/>
              <w:numPr>
                <w:ilvl w:val="0"/>
                <w:numId w:val="7"/>
              </w:numPr>
              <w:tabs>
                <w:tab w:val="left" w:pos="720" w:leader="none"/>
              </w:tabs>
              <w:bidi w:val="0"/>
              <w:spacing w:before="0" w:after="0"/>
              <w:ind w:hanging="360" w:left="720" w:right="0"/>
              <w:rPr>
                <w:rFonts w:ascii="Times New Roman" w:hAnsi="Times New Roman"/>
              </w:rPr>
            </w:pPr>
            <w:r>
              <w:rPr/>
              <w:t>reliable utilities</w:t>
            </w:r>
          </w:p>
          <w:p>
            <w:pPr>
              <w:pStyle w:val="NormalWeb"/>
              <w:numPr>
                <w:ilvl w:val="0"/>
                <w:numId w:val="7"/>
              </w:numPr>
              <w:tabs>
                <w:tab w:val="left" w:pos="720" w:leader="none"/>
              </w:tabs>
              <w:bidi w:val="0"/>
              <w:spacing w:before="0" w:after="0"/>
              <w:ind w:hanging="360" w:left="720" w:right="0"/>
              <w:rPr>
                <w:rFonts w:ascii="Times New Roman" w:hAnsi="Times New Roman"/>
              </w:rPr>
            </w:pPr>
            <w:r>
              <w:rPr/>
              <w:t>sustainable development</w:t>
            </w:r>
          </w:p>
          <w:p>
            <w:pPr>
              <w:pStyle w:val="NormalWeb"/>
              <w:numPr>
                <w:ilvl w:val="0"/>
                <w:numId w:val="7"/>
              </w:numPr>
              <w:tabs>
                <w:tab w:val="left" w:pos="720" w:leader="none"/>
              </w:tabs>
              <w:bidi w:val="0"/>
              <w:spacing w:before="0" w:after="100"/>
              <w:ind w:hanging="360" w:left="720" w:right="0"/>
              <w:rPr>
                <w:rFonts w:ascii="Times New Roman" w:hAnsi="Times New Roman"/>
              </w:rPr>
            </w:pPr>
            <w:r>
              <w:rPr/>
              <w:t>evidence-based planning</w:t>
            </w:r>
          </w:p>
          <w:p>
            <w:pPr>
              <w:pStyle w:val="NormalWeb"/>
              <w:bidi w:val="0"/>
              <w:spacing w:before="100" w:after="100"/>
              <w:rPr>
                <w:rFonts w:ascii="Times New Roman" w:hAnsi="Times New Roman"/>
              </w:rPr>
            </w:pPr>
            <w:r>
              <w:rPr/>
              <w:t xml:space="preserve">By failing to demonstrate how LMA will be connected to the national grid, the plan is </w:t>
            </w:r>
            <w:r>
              <w:rPr>
                <w:rStyle w:val="Strong"/>
                <w:lang w:val="en-GB" w:eastAsia="en-GB" w:bidi="ar-SA"/>
              </w:rPr>
              <w:t>not consistent</w:t>
            </w:r>
            <w:r>
              <w:rPr/>
              <w:t xml:space="preserve"> with:</w:t>
            </w:r>
          </w:p>
          <w:p>
            <w:pPr>
              <w:pStyle w:val="NormalWeb"/>
              <w:numPr>
                <w:ilvl w:val="0"/>
                <w:numId w:val="8"/>
              </w:numPr>
              <w:tabs>
                <w:tab w:val="left" w:pos="720" w:leader="none"/>
              </w:tabs>
              <w:bidi w:val="0"/>
              <w:spacing w:before="100" w:after="0"/>
              <w:ind w:hanging="360" w:left="720" w:right="0"/>
              <w:rPr>
                <w:rFonts w:ascii="Times New Roman" w:hAnsi="Times New Roman"/>
              </w:rPr>
            </w:pPr>
            <w:r>
              <w:rPr>
                <w:rStyle w:val="Strong"/>
                <w:lang w:val="en-GB" w:eastAsia="en-GB" w:bidi="ar-SA"/>
              </w:rPr>
              <w:t>NPPF §152</w:t>
            </w:r>
            <w:r>
              <w:rPr/>
              <w:t xml:space="preserve"> (transition to a low-carbon future)</w:t>
            </w:r>
          </w:p>
          <w:p>
            <w:pPr>
              <w:pStyle w:val="NormalWeb"/>
              <w:numPr>
                <w:ilvl w:val="0"/>
                <w:numId w:val="8"/>
              </w:numPr>
              <w:tabs>
                <w:tab w:val="left" w:pos="720" w:leader="none"/>
              </w:tabs>
              <w:bidi w:val="0"/>
              <w:spacing w:before="0" w:after="0"/>
              <w:ind w:hanging="360" w:left="720" w:right="0"/>
              <w:rPr>
                <w:rFonts w:ascii="Times New Roman" w:hAnsi="Times New Roman"/>
              </w:rPr>
            </w:pPr>
            <w:r>
              <w:rPr>
                <w:rStyle w:val="Strong"/>
                <w:lang w:val="en-GB" w:eastAsia="en-GB" w:bidi="ar-SA"/>
              </w:rPr>
              <w:t>NPPF §153</w:t>
            </w:r>
            <w:r>
              <w:rPr/>
              <w:t xml:space="preserve"> (support renewable and low-carbon energy)</w:t>
            </w:r>
          </w:p>
          <w:p>
            <w:pPr>
              <w:pStyle w:val="NormalWeb"/>
              <w:numPr>
                <w:ilvl w:val="0"/>
                <w:numId w:val="8"/>
              </w:numPr>
              <w:tabs>
                <w:tab w:val="left" w:pos="720" w:leader="none"/>
              </w:tabs>
              <w:bidi w:val="0"/>
              <w:spacing w:before="0" w:after="100"/>
              <w:ind w:hanging="360" w:left="720" w:right="0"/>
              <w:rPr>
                <w:rFonts w:ascii="Times New Roman" w:hAnsi="Times New Roman"/>
              </w:rPr>
            </w:pPr>
            <w:r>
              <w:rPr>
                <w:rStyle w:val="Strong"/>
                <w:lang w:val="en-GB" w:eastAsia="en-GB" w:bidi="ar-SA"/>
              </w:rPr>
              <w:t>NPPF §154–158</w:t>
            </w:r>
            <w:r>
              <w:rPr/>
              <w:t xml:space="preserve"> (energy infrastructure planning)</w:t>
            </w:r>
          </w:p>
          <w:p>
            <w:pPr>
              <w:pStyle w:val="NormalWeb"/>
              <w:bidi w:val="0"/>
              <w:spacing w:before="100" w:after="100"/>
              <w:rPr>
                <w:rFonts w:ascii="Times New Roman" w:hAnsi="Times New Roman"/>
              </w:rPr>
            </w:pPr>
            <w:r>
              <w:rPr/>
              <w:t>The plan does not show that LMA can:</w:t>
            </w:r>
          </w:p>
          <w:p>
            <w:pPr>
              <w:pStyle w:val="NormalWeb"/>
              <w:numPr>
                <w:ilvl w:val="0"/>
                <w:numId w:val="9"/>
              </w:numPr>
              <w:tabs>
                <w:tab w:val="left" w:pos="720" w:leader="none"/>
              </w:tabs>
              <w:bidi w:val="0"/>
              <w:spacing w:before="100" w:after="0"/>
              <w:ind w:hanging="360" w:left="720" w:right="0"/>
              <w:rPr>
                <w:rFonts w:ascii="Times New Roman" w:hAnsi="Times New Roman"/>
              </w:rPr>
            </w:pPr>
            <w:r>
              <w:rPr/>
              <w:t>support heat pumps</w:t>
            </w:r>
          </w:p>
          <w:p>
            <w:pPr>
              <w:pStyle w:val="NormalWeb"/>
              <w:numPr>
                <w:ilvl w:val="0"/>
                <w:numId w:val="9"/>
              </w:numPr>
              <w:tabs>
                <w:tab w:val="left" w:pos="720" w:leader="none"/>
              </w:tabs>
              <w:bidi w:val="0"/>
              <w:spacing w:before="0" w:after="0"/>
              <w:ind w:hanging="360" w:left="720" w:right="0"/>
              <w:rPr>
                <w:rFonts w:ascii="Times New Roman" w:hAnsi="Times New Roman"/>
              </w:rPr>
            </w:pPr>
            <w:r>
              <w:rPr/>
              <w:t>support EV charging</w:t>
            </w:r>
          </w:p>
          <w:p>
            <w:pPr>
              <w:pStyle w:val="NormalWeb"/>
              <w:numPr>
                <w:ilvl w:val="0"/>
                <w:numId w:val="9"/>
              </w:numPr>
              <w:tabs>
                <w:tab w:val="left" w:pos="720" w:leader="none"/>
              </w:tabs>
              <w:bidi w:val="0"/>
              <w:spacing w:before="0" w:after="0"/>
              <w:ind w:hanging="360" w:left="720" w:right="0"/>
              <w:rPr>
                <w:rFonts w:ascii="Times New Roman" w:hAnsi="Times New Roman"/>
              </w:rPr>
            </w:pPr>
            <w:r>
              <w:rPr/>
              <w:t>meet net-zero requirements</w:t>
            </w:r>
          </w:p>
          <w:p>
            <w:pPr>
              <w:pStyle w:val="NormalWeb"/>
              <w:numPr>
                <w:ilvl w:val="0"/>
                <w:numId w:val="9"/>
              </w:numPr>
              <w:tabs>
                <w:tab w:val="left" w:pos="720" w:leader="none"/>
              </w:tabs>
              <w:bidi w:val="0"/>
              <w:spacing w:before="0" w:after="100"/>
              <w:ind w:hanging="360" w:left="720" w:right="0"/>
              <w:rPr>
                <w:rFonts w:ascii="Times New Roman" w:hAnsi="Times New Roman"/>
              </w:rPr>
            </w:pPr>
            <w:r>
              <w:rPr/>
              <w:t>maintain energy resilience</w:t>
            </w:r>
          </w:p>
          <w:p>
            <w:pPr>
              <w:pStyle w:val="NormalWeb"/>
              <w:bidi w:val="0"/>
              <w:spacing w:before="100" w:after="100"/>
              <w:rPr>
                <w:rFonts w:ascii="Times New Roman" w:hAnsi="Times New Roman"/>
              </w:rPr>
            </w:pPr>
            <w:r>
              <w:rPr/>
              <w:t>This is a direct conflict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grid capacity and connection study</w:t>
            </w:r>
          </w:p>
          <w:p>
            <w:pPr>
              <w:pStyle w:val="NormalWeb"/>
              <w:bidi w:val="0"/>
              <w:spacing w:before="100" w:after="100"/>
              <w:rPr>
                <w:rFonts w:ascii="Times New Roman" w:hAnsi="Times New Roman"/>
              </w:rPr>
            </w:pPr>
            <w:r>
              <w:rPr/>
              <w:t>This must include:</w:t>
            </w:r>
          </w:p>
          <w:p>
            <w:pPr>
              <w:pStyle w:val="NormalWeb"/>
              <w:numPr>
                <w:ilvl w:val="0"/>
                <w:numId w:val="12"/>
              </w:numPr>
              <w:tabs>
                <w:tab w:val="left" w:pos="720" w:leader="none"/>
              </w:tabs>
              <w:bidi w:val="0"/>
              <w:spacing w:before="100" w:after="0"/>
              <w:rPr/>
            </w:pPr>
            <w:r>
              <w:rPr/>
              <w:t>load forecasts</w:t>
            </w:r>
          </w:p>
          <w:p>
            <w:pPr>
              <w:pStyle w:val="NormalWeb"/>
              <w:numPr>
                <w:ilvl w:val="0"/>
                <w:numId w:val="12"/>
              </w:numPr>
              <w:tabs>
                <w:tab w:val="left" w:pos="720" w:leader="none"/>
              </w:tabs>
              <w:bidi w:val="0"/>
              <w:spacing w:before="0" w:after="0"/>
              <w:rPr/>
            </w:pPr>
            <w:r>
              <w:rPr/>
              <w:t>connection feasibility</w:t>
            </w:r>
          </w:p>
          <w:p>
            <w:pPr>
              <w:pStyle w:val="NormalWeb"/>
              <w:numPr>
                <w:ilvl w:val="0"/>
                <w:numId w:val="12"/>
              </w:numPr>
              <w:tabs>
                <w:tab w:val="left" w:pos="720" w:leader="none"/>
              </w:tabs>
              <w:bidi w:val="0"/>
              <w:spacing w:before="0" w:after="0"/>
              <w:rPr/>
            </w:pPr>
            <w:r>
              <w:rPr/>
              <w:t>reinforcement requirements</w:t>
            </w:r>
          </w:p>
          <w:p>
            <w:pPr>
              <w:pStyle w:val="NormalWeb"/>
              <w:numPr>
                <w:ilvl w:val="0"/>
                <w:numId w:val="12"/>
              </w:numPr>
              <w:tabs>
                <w:tab w:val="left" w:pos="720" w:leader="none"/>
              </w:tabs>
              <w:bidi w:val="0"/>
              <w:spacing w:before="0" w:after="0"/>
              <w:rPr/>
            </w:pPr>
            <w:r>
              <w:rPr/>
              <w:t>costings</w:t>
            </w:r>
          </w:p>
          <w:p>
            <w:pPr>
              <w:pStyle w:val="NormalWeb"/>
              <w:numPr>
                <w:ilvl w:val="0"/>
                <w:numId w:val="12"/>
              </w:numPr>
              <w:tabs>
                <w:tab w:val="left" w:pos="720" w:leader="none"/>
              </w:tabs>
              <w:bidi w:val="0"/>
              <w:spacing w:before="0" w:after="0"/>
              <w:rPr/>
            </w:pPr>
            <w:r>
              <w:rPr/>
              <w:t>delivery timelines</w:t>
            </w:r>
          </w:p>
          <w:p>
            <w:pPr>
              <w:pStyle w:val="NormalWeb"/>
              <w:numPr>
                <w:ilvl w:val="0"/>
                <w:numId w:val="12"/>
              </w:numPr>
              <w:tabs>
                <w:tab w:val="left" w:pos="720" w:leader="none"/>
              </w:tabs>
              <w:bidi w:val="0"/>
              <w:spacing w:before="0" w:after="0"/>
              <w:rPr>
                <w:rFonts w:ascii="Times New Roman" w:hAnsi="Times New Roman"/>
              </w:rPr>
            </w:pPr>
            <w:r>
              <w:rPr/>
              <w:t>National Grid / DNO confirmation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Identify a site for a new primary substation</w:t>
            </w:r>
          </w:p>
          <w:p>
            <w:pPr>
              <w:pStyle w:val="NormalWeb"/>
              <w:bidi w:val="0"/>
              <w:spacing w:before="100" w:after="100"/>
              <w:rPr>
                <w:rFonts w:ascii="Times New Roman" w:hAnsi="Times New Roman"/>
              </w:rPr>
            </w:pPr>
            <w:r>
              <w:rPr/>
              <w:t>Including:</w:t>
            </w:r>
          </w:p>
          <w:p>
            <w:pPr>
              <w:pStyle w:val="NormalWeb"/>
              <w:numPr>
                <w:ilvl w:val="0"/>
                <w:numId w:val="13"/>
              </w:numPr>
              <w:tabs>
                <w:tab w:val="left" w:pos="720" w:leader="none"/>
              </w:tabs>
              <w:bidi w:val="0"/>
              <w:spacing w:before="100" w:after="0"/>
              <w:rPr/>
            </w:pPr>
            <w:r>
              <w:rPr/>
              <w:t>land allocation</w:t>
            </w:r>
          </w:p>
          <w:p>
            <w:pPr>
              <w:pStyle w:val="NormalWeb"/>
              <w:numPr>
                <w:ilvl w:val="0"/>
                <w:numId w:val="13"/>
              </w:numPr>
              <w:tabs>
                <w:tab w:val="left" w:pos="720" w:leader="none"/>
              </w:tabs>
              <w:bidi w:val="0"/>
              <w:spacing w:before="0" w:after="0"/>
              <w:rPr/>
            </w:pPr>
            <w:r>
              <w:rPr/>
              <w:t>safeguarding</w:t>
            </w:r>
          </w:p>
          <w:p>
            <w:pPr>
              <w:pStyle w:val="NormalWeb"/>
              <w:numPr>
                <w:ilvl w:val="0"/>
                <w:numId w:val="13"/>
              </w:numPr>
              <w:tabs>
                <w:tab w:val="left" w:pos="720" w:leader="none"/>
              </w:tabs>
              <w:bidi w:val="0"/>
              <w:spacing w:before="0" w:after="0"/>
              <w:rPr/>
            </w:pPr>
            <w:r>
              <w:rPr/>
              <w:t>environmental assessment</w:t>
            </w:r>
          </w:p>
          <w:p>
            <w:pPr>
              <w:pStyle w:val="NormalWeb"/>
              <w:numPr>
                <w:ilvl w:val="0"/>
                <w:numId w:val="13"/>
              </w:numPr>
              <w:tabs>
                <w:tab w:val="left" w:pos="720" w:leader="none"/>
              </w:tabs>
              <w:bidi w:val="0"/>
              <w:spacing w:before="0" w:after="0"/>
              <w:rPr>
                <w:rFonts w:ascii="Times New Roman" w:hAnsi="Times New Roman"/>
              </w:rPr>
            </w:pPr>
            <w:r>
              <w:rPr/>
              <w:t>delivery phasing</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Safeguard a high-voltage cable corridor</w:t>
            </w:r>
          </w:p>
          <w:p>
            <w:pPr>
              <w:pStyle w:val="NormalWeb"/>
              <w:bidi w:val="0"/>
              <w:spacing w:before="100" w:after="100"/>
              <w:rPr>
                <w:rFonts w:ascii="Times New Roman" w:hAnsi="Times New Roman"/>
              </w:rPr>
            </w:pPr>
            <w:r>
              <w:rPr/>
              <w:t>Including:</w:t>
            </w:r>
          </w:p>
          <w:p>
            <w:pPr>
              <w:pStyle w:val="NormalWeb"/>
              <w:numPr>
                <w:ilvl w:val="0"/>
                <w:numId w:val="3"/>
              </w:numPr>
              <w:tabs>
                <w:tab w:val="left" w:pos="720" w:leader="none"/>
              </w:tabs>
              <w:bidi w:val="0"/>
              <w:spacing w:before="100" w:after="0"/>
              <w:ind w:hanging="360" w:left="720" w:right="0"/>
              <w:rPr>
                <w:rFonts w:ascii="Times New Roman" w:hAnsi="Times New Roman"/>
              </w:rPr>
            </w:pPr>
            <w:r>
              <w:rPr/>
              <w:t>route options</w:t>
            </w:r>
          </w:p>
          <w:p>
            <w:pPr>
              <w:pStyle w:val="NormalWeb"/>
              <w:numPr>
                <w:ilvl w:val="0"/>
                <w:numId w:val="3"/>
              </w:numPr>
              <w:tabs>
                <w:tab w:val="left" w:pos="720" w:leader="none"/>
              </w:tabs>
              <w:bidi w:val="0"/>
              <w:spacing w:before="0" w:after="0"/>
              <w:ind w:hanging="360" w:left="720" w:right="0"/>
              <w:rPr>
                <w:rFonts w:ascii="Times New Roman" w:hAnsi="Times New Roman"/>
              </w:rPr>
            </w:pPr>
            <w:r>
              <w:rPr/>
              <w:t>land requirements</w:t>
            </w:r>
          </w:p>
          <w:p>
            <w:pPr>
              <w:pStyle w:val="NormalWeb"/>
              <w:numPr>
                <w:ilvl w:val="0"/>
                <w:numId w:val="3"/>
              </w:numPr>
              <w:tabs>
                <w:tab w:val="left" w:pos="720" w:leader="none"/>
              </w:tabs>
              <w:bidi w:val="0"/>
              <w:spacing w:before="0" w:after="0"/>
              <w:ind w:hanging="360" w:left="720" w:right="0"/>
              <w:rPr>
                <w:rFonts w:ascii="Times New Roman" w:hAnsi="Times New Roman"/>
              </w:rPr>
            </w:pPr>
            <w:r>
              <w:rPr/>
              <w:t>construction feasibility</w:t>
            </w:r>
          </w:p>
          <w:p>
            <w:pPr>
              <w:pStyle w:val="NormalWeb"/>
              <w:numPr>
                <w:ilvl w:val="0"/>
                <w:numId w:val="3"/>
              </w:numPr>
              <w:tabs>
                <w:tab w:val="left" w:pos="720" w:leader="none"/>
              </w:tabs>
              <w:bidi w:val="0"/>
              <w:spacing w:before="0" w:after="0"/>
              <w:ind w:hanging="360" w:left="720" w:right="0"/>
              <w:rPr>
                <w:rFonts w:ascii="Times New Roman" w:hAnsi="Times New Roman"/>
              </w:rPr>
            </w:pPr>
            <w:r>
              <w:rPr/>
              <w:t>environmental constraints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Provide binding infrastructure-first phasing triggers</w:t>
            </w:r>
          </w:p>
          <w:p>
            <w:pPr>
              <w:pStyle w:val="NormalWeb"/>
              <w:bidi w:val="0"/>
              <w:spacing w:before="100" w:after="100"/>
              <w:rPr>
                <w:rFonts w:ascii="Times New Roman" w:hAnsi="Times New Roman"/>
              </w:rPr>
            </w:pPr>
            <w:r>
              <w:rPr/>
              <w:t>Occupation of LMA must be prohibited until:</w:t>
            </w:r>
          </w:p>
          <w:p>
            <w:pPr>
              <w:pStyle w:val="NormalWeb"/>
              <w:numPr>
                <w:ilvl w:val="0"/>
                <w:numId w:val="4"/>
              </w:numPr>
              <w:tabs>
                <w:tab w:val="left" w:pos="720" w:leader="none"/>
              </w:tabs>
              <w:bidi w:val="0"/>
              <w:spacing w:before="100" w:after="0"/>
              <w:ind w:hanging="360" w:left="720" w:right="0"/>
              <w:rPr>
                <w:rFonts w:ascii="Times New Roman" w:hAnsi="Times New Roman"/>
              </w:rPr>
            </w:pPr>
            <w:r>
              <w:rPr/>
              <w:t>the primary substation is built</w:t>
            </w:r>
          </w:p>
          <w:p>
            <w:pPr>
              <w:pStyle w:val="NormalWeb"/>
              <w:numPr>
                <w:ilvl w:val="0"/>
                <w:numId w:val="4"/>
              </w:numPr>
              <w:tabs>
                <w:tab w:val="left" w:pos="720" w:leader="none"/>
              </w:tabs>
              <w:bidi w:val="0"/>
              <w:spacing w:before="0" w:after="0"/>
              <w:ind w:hanging="360" w:left="720" w:right="0"/>
              <w:rPr>
                <w:rFonts w:ascii="Times New Roman" w:hAnsi="Times New Roman"/>
              </w:rPr>
            </w:pPr>
            <w:r>
              <w:rPr/>
              <w:t>HV connection is energised</w:t>
            </w:r>
          </w:p>
          <w:p>
            <w:pPr>
              <w:pStyle w:val="NormalWeb"/>
              <w:numPr>
                <w:ilvl w:val="0"/>
                <w:numId w:val="4"/>
              </w:numPr>
              <w:tabs>
                <w:tab w:val="left" w:pos="720" w:leader="none"/>
              </w:tabs>
              <w:bidi w:val="0"/>
              <w:spacing w:before="0" w:after="0"/>
              <w:ind w:hanging="360" w:left="720" w:right="0"/>
              <w:rPr>
                <w:rFonts w:ascii="Times New Roman" w:hAnsi="Times New Roman"/>
              </w:rPr>
            </w:pPr>
            <w:r>
              <w:rPr/>
              <w:t>grid reinforcement is complete</w:t>
            </w:r>
          </w:p>
          <w:p>
            <w:pPr>
              <w:pStyle w:val="NormalWeb"/>
              <w:numPr>
                <w:ilvl w:val="0"/>
                <w:numId w:val="4"/>
              </w:numPr>
              <w:tabs>
                <w:tab w:val="left" w:pos="720" w:leader="none"/>
              </w:tabs>
              <w:bidi w:val="0"/>
              <w:spacing w:before="0" w:after="0"/>
              <w:ind w:hanging="360" w:left="720" w:right="0"/>
              <w:rPr>
                <w:rFonts w:ascii="Times New Roman" w:hAnsi="Times New Roman"/>
              </w:rPr>
            </w:pPr>
            <w:r>
              <w:rPr/>
              <w:t>utilities capacity is confirmed</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5 — Reassess the scale of LMA</w:t>
            </w:r>
          </w:p>
          <w:p>
            <w:pPr>
              <w:pStyle w:val="NormalWeb"/>
              <w:bidi w:val="0"/>
              <w:spacing w:before="100" w:after="100"/>
              <w:rPr>
                <w:rFonts w:ascii="Times New Roman" w:hAnsi="Times New Roman"/>
              </w:rPr>
            </w:pPr>
            <w:r>
              <w:rPr/>
              <w:t>If grid capacity cannot be delivered within the plan period, the allocation must be:</w:t>
            </w:r>
          </w:p>
          <w:p>
            <w:pPr>
              <w:pStyle w:val="NormalWeb"/>
              <w:numPr>
                <w:ilvl w:val="0"/>
                <w:numId w:val="5"/>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5"/>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5"/>
              </w:numPr>
              <w:tabs>
                <w:tab w:val="left" w:pos="720" w:leader="none"/>
              </w:tabs>
              <w:bidi w:val="0"/>
              <w:spacing w:before="0" w:after="0"/>
              <w:ind w:hanging="360" w:left="720" w:right="0"/>
              <w:rPr>
                <w:rFonts w:ascii="Times New Roman" w:hAnsi="Times New Roman"/>
              </w:rPr>
            </w:pPr>
            <w:r>
              <w:rPr/>
              <w:t>or replaced with less constrained alternatives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evidence</w:t>
            </w:r>
            <w:r>
              <w:rPr/>
              <w:t xml:space="preserve"> that the development can be connected to the national electricity grid or supplied with sufficient energy infrastructure.</w:t>
            </w:r>
          </w:p>
          <w:p>
            <w:pPr>
              <w:pStyle w:val="NormalWeb"/>
              <w:bidi w:val="0"/>
              <w:spacing w:before="100" w:after="100"/>
              <w:rPr>
                <w:rFonts w:ascii="Times New Roman" w:hAnsi="Times New Roman"/>
              </w:rPr>
            </w:pPr>
            <w:r>
              <w:rPr/>
              <w:t>The allocation is:</w:t>
            </w:r>
          </w:p>
          <w:p>
            <w:pPr>
              <w:pStyle w:val="NormalWeb"/>
              <w:numPr>
                <w:ilvl w:val="0"/>
                <w:numId w:val="6"/>
              </w:numPr>
              <w:tabs>
                <w:tab w:val="left" w:pos="720" w:leader="none"/>
              </w:tabs>
              <w:bidi w:val="0"/>
              <w:spacing w:before="100" w:after="0"/>
              <w:ind w:hanging="360" w:left="720" w:right="0"/>
              <w:rPr>
                <w:rFonts w:ascii="Times New Roman" w:hAnsi="Times New Roman"/>
              </w:rPr>
            </w:pPr>
            <w:r>
              <w:rPr>
                <w:rStyle w:val="Strong"/>
                <w:lang w:val="en-GB" w:eastAsia="en-GB" w:bidi="ar-SA"/>
              </w:rPr>
              <w:t>Not Justified</w:t>
            </w:r>
            <w:r>
              <w:rPr/>
              <w:t xml:space="preserve"> (no proportionate evidence)</w:t>
            </w:r>
          </w:p>
          <w:p>
            <w:pPr>
              <w:pStyle w:val="NormalWeb"/>
              <w:numPr>
                <w:ilvl w:val="0"/>
                <w:numId w:val="6"/>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r>
              <w:rPr/>
              <w:t xml:space="preserve"> (no deliverable infrastructure plan)</w:t>
            </w:r>
          </w:p>
          <w:p>
            <w:pPr>
              <w:pStyle w:val="NormalWeb"/>
              <w:numPr>
                <w:ilvl w:val="0"/>
                <w:numId w:val="6"/>
              </w:numPr>
              <w:tabs>
                <w:tab w:val="left" w:pos="720" w:leader="none"/>
              </w:tabs>
              <w:bidi w:val="0"/>
              <w:spacing w:before="0" w:after="100"/>
              <w:ind w:hanging="360" w:left="720" w:right="0"/>
              <w:rPr>
                <w:rFonts w:ascii="Times New Roman" w:hAnsi="Times New Roman"/>
              </w:rPr>
            </w:pPr>
            <w:r>
              <w:rPr>
                <w:rStyle w:val="Strong"/>
                <w:lang w:val="en-GB" w:eastAsia="en-GB" w:bidi="ar-SA"/>
              </w:rPr>
              <w:t>Not Consistent with National Policy</w:t>
            </w:r>
            <w:r>
              <w:rPr/>
              <w:t xml:space="preserve"> (NPPF §§152–158)</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LibreOffice/26.2.5.2$Windows_X86_64 LibreOffice_project/cd7284b4cbbfeb507e630c1aac019f4157393acb</Application>
  <AppVersion>15.0000</AppVersion>
  <Pages>8</Pages>
  <Words>1610</Words>
  <Characters>8776</Characters>
  <CharactersWithSpaces>10155</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2026-08-28T14:01:45Z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