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ID.11</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Water Supply Objection (Proposal LMA)</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§31, §35, §159)</w:t>
            </w:r>
            <w:r>
              <w:rPr/>
              <w:t xml:space="preserve"> Ref: </w:t>
            </w:r>
            <w:r>
              <w:rPr>
                <w:rStyle w:val="Emphasis"/>
                <w:lang w:val="en-GB" w:eastAsia="en-GB" w:bidi="ar-SA"/>
              </w:rPr>
              <w:t>SWLP Reg 19 Publication Version</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 – Long Marston Airfield New Community</w:t>
            </w:r>
            <w:r>
              <w:rPr/>
              <w:t xml:space="preserve"> on the grounds that the SWLP Reg 19 Publication Version provides </w:t>
            </w:r>
            <w:r>
              <w:rPr>
                <w:rStyle w:val="Strong"/>
                <w:lang w:val="en-GB" w:eastAsia="en-GB" w:bidi="ar-SA"/>
              </w:rPr>
              <w:t>no proportionate evidence</w:t>
            </w:r>
            <w:r>
              <w:rPr/>
              <w:t xml:space="preserve"> that the development can be supplied with sufficient potable water or connected to a reinforced water network capable of supporting a town</w:t>
              <w:noBreakHyphen/>
              <w:t>scale settlement.</w:t>
            </w:r>
          </w:p>
          <w:p>
            <w:pPr>
              <w:pStyle w:val="NormalWeb"/>
              <w:bidi w:val="0"/>
              <w:spacing w:before="100" w:after="100"/>
              <w:rPr>
                <w:rFonts w:ascii="Times New Roman" w:hAnsi="Times New Roman"/>
              </w:rPr>
            </w:pPr>
            <w:r>
              <w:rPr/>
              <w:t xml:space="preserve">The plan contains </w:t>
            </w:r>
            <w:r>
              <w:rPr>
                <w:rStyle w:val="Strong"/>
                <w:lang w:val="en-GB" w:eastAsia="en-GB" w:bidi="ar-SA"/>
              </w:rPr>
              <w:t>no water supply capacity assessment</w:t>
            </w:r>
            <w:r>
              <w:rPr/>
              <w:t xml:space="preserve">, </w:t>
            </w:r>
            <w:r>
              <w:rPr>
                <w:rStyle w:val="Strong"/>
                <w:lang w:val="en-GB" w:eastAsia="en-GB" w:bidi="ar-SA"/>
              </w:rPr>
              <w:t>no network reinforcement plan</w:t>
            </w:r>
            <w:r>
              <w:rPr/>
              <w:t xml:space="preserve">, </w:t>
            </w:r>
            <w:r>
              <w:rPr>
                <w:rStyle w:val="Strong"/>
                <w:lang w:val="en-GB" w:eastAsia="en-GB" w:bidi="ar-SA"/>
              </w:rPr>
              <w:t>no confirmation from Severn Trent Water</w:t>
            </w:r>
            <w:r>
              <w:rPr/>
              <w:t xml:space="preserve">, and </w:t>
            </w:r>
            <w:r>
              <w:rPr>
                <w:rStyle w:val="Strong"/>
                <w:lang w:val="en-GB" w:eastAsia="en-GB" w:bidi="ar-SA"/>
              </w:rPr>
              <w:t>no phasing triggers</w:t>
            </w:r>
            <w:r>
              <w:rPr/>
              <w:t xml:space="preserve"> ensuring water infrastructure is delivered before occupation.</w:t>
            </w:r>
          </w:p>
          <w:p>
            <w:pPr>
              <w:pStyle w:val="NormalWeb"/>
              <w:bidi w:val="0"/>
              <w:spacing w:before="100" w:after="100"/>
              <w:rPr>
                <w:rFonts w:ascii="Times New Roman" w:hAnsi="Times New Roman"/>
              </w:rPr>
            </w:pPr>
            <w:r>
              <w:rPr/>
              <w:t xml:space="preserve">This omission renders the allocation </w:t>
            </w:r>
            <w:r>
              <w:rPr>
                <w:rStyle w:val="Strong"/>
                <w:lang w:val="en-GB" w:eastAsia="en-GB" w:bidi="ar-SA"/>
              </w:rPr>
              <w:t>unsound</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Relevant SWLP References</w:t>
            </w:r>
          </w:p>
          <w:p>
            <w:pPr>
              <w:pStyle w:val="NormalWeb"/>
              <w:numPr>
                <w:ilvl w:val="0"/>
                <w:numId w:val="11"/>
              </w:numPr>
              <w:tabs>
                <w:tab w:val="left" w:pos="720" w:leader="none"/>
              </w:tabs>
              <w:bidi w:val="0"/>
              <w:spacing w:before="100" w:after="100"/>
              <w:rPr/>
            </w:pPr>
            <w:r>
              <w:rPr>
                <w:rStyle w:val="Strong"/>
                <w:lang w:val="en-GB" w:eastAsia="en-GB" w:bidi="ar-SA"/>
              </w:rPr>
              <w:t>Proposal LMA – Section 8.2</w:t>
            </w:r>
            <w:r>
              <w:rPr/>
              <w:t xml:space="preserve"> (no reference to water supply capacity)</w:t>
            </w:r>
          </w:p>
          <w:p>
            <w:pPr>
              <w:pStyle w:val="NormalWeb"/>
              <w:numPr>
                <w:ilvl w:val="0"/>
                <w:numId w:val="11"/>
              </w:numPr>
              <w:tabs>
                <w:tab w:val="left" w:pos="720" w:leader="none"/>
              </w:tabs>
              <w:bidi w:val="0"/>
              <w:spacing w:before="100" w:after="100"/>
              <w:rPr/>
            </w:pPr>
            <w:r>
              <w:rPr>
                <w:rStyle w:val="Strong"/>
                <w:lang w:val="en-GB" w:eastAsia="en-GB" w:bidi="ar-SA"/>
              </w:rPr>
              <w:t>ID.11 – Utilities Infrastructure</w:t>
            </w:r>
            <w:r>
              <w:rPr/>
              <w:t xml:space="preserve"> (requires evidence of water capacity and deliverability)</w:t>
            </w:r>
          </w:p>
          <w:p>
            <w:pPr>
              <w:pStyle w:val="NormalWeb"/>
              <w:numPr>
                <w:ilvl w:val="0"/>
                <w:numId w:val="11"/>
              </w:numPr>
              <w:tabs>
                <w:tab w:val="left" w:pos="720" w:leader="none"/>
              </w:tabs>
              <w:bidi w:val="0"/>
              <w:spacing w:before="100" w:after="100"/>
              <w:rPr>
                <w:rFonts w:ascii="Times New Roman" w:hAnsi="Times New Roman"/>
              </w:rPr>
            </w:pPr>
            <w:r>
              <w:rPr>
                <w:rStyle w:val="Strong"/>
                <w:lang w:val="en-GB" w:eastAsia="en-GB" w:bidi="ar-SA"/>
              </w:rPr>
              <w:t>BN policies</w:t>
            </w:r>
            <w:r>
              <w:rPr/>
              <w:t xml:space="preserve"> (environmental resilience, water environment)</w:t>
            </w:r>
          </w:p>
          <w:p>
            <w:pPr>
              <w:pStyle w:val="NormalWeb"/>
              <w:bidi w:val="0"/>
              <w:spacing w:before="100" w:after="100"/>
              <w:rPr>
                <w:rFonts w:ascii="Times New Roman" w:hAnsi="Times New Roman"/>
              </w:rPr>
            </w:pPr>
            <w:r>
              <w:rPr/>
              <w:t xml:space="preserve">The Reg 19 document does </w:t>
            </w:r>
            <w:r>
              <w:rPr>
                <w:rStyle w:val="Strong"/>
                <w:lang w:val="en-GB" w:eastAsia="en-GB" w:bidi="ar-SA"/>
              </w:rPr>
              <w:t>not</w:t>
            </w:r>
            <w:r>
              <w:rPr/>
              <w:t xml:space="preserve"> demonstrate compliance with these policies.</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Soundness – Not Justified (NPPF §31, §35)</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No water supply capacity study</w:t>
            </w:r>
          </w:p>
          <w:p>
            <w:pPr>
              <w:pStyle w:val="NormalWeb"/>
              <w:bidi w:val="0"/>
              <w:spacing w:before="100" w:after="100"/>
              <w:rPr>
                <w:rFonts w:ascii="Times New Roman" w:hAnsi="Times New Roman"/>
              </w:rPr>
            </w:pPr>
            <w:r>
              <w:rPr/>
              <w:t>A town</w:t>
              <w:noBreakHyphen/>
              <w:t>scale settlement of 4,000+ homes requires:</w:t>
            </w:r>
          </w:p>
          <w:p>
            <w:pPr>
              <w:pStyle w:val="NormalWeb"/>
              <w:numPr>
                <w:ilvl w:val="0"/>
                <w:numId w:val="12"/>
              </w:numPr>
              <w:tabs>
                <w:tab w:val="left" w:pos="720" w:leader="none"/>
              </w:tabs>
              <w:bidi w:val="0"/>
              <w:spacing w:before="100" w:after="100"/>
              <w:rPr/>
            </w:pPr>
            <w:r>
              <w:rPr/>
              <w:t>confirmation of potable water availability</w:t>
            </w:r>
          </w:p>
          <w:p>
            <w:pPr>
              <w:pStyle w:val="NormalWeb"/>
              <w:numPr>
                <w:ilvl w:val="0"/>
                <w:numId w:val="12"/>
              </w:numPr>
              <w:tabs>
                <w:tab w:val="left" w:pos="720" w:leader="none"/>
              </w:tabs>
              <w:bidi w:val="0"/>
              <w:spacing w:before="100" w:after="100"/>
              <w:rPr/>
            </w:pPr>
            <w:r>
              <w:rPr/>
              <w:t>modelling of peak demand</w:t>
            </w:r>
          </w:p>
          <w:p>
            <w:pPr>
              <w:pStyle w:val="NormalWeb"/>
              <w:numPr>
                <w:ilvl w:val="0"/>
                <w:numId w:val="12"/>
              </w:numPr>
              <w:tabs>
                <w:tab w:val="left" w:pos="720" w:leader="none"/>
              </w:tabs>
              <w:bidi w:val="0"/>
              <w:spacing w:before="100" w:after="100"/>
              <w:rPr/>
            </w:pPr>
            <w:r>
              <w:rPr/>
              <w:t>assessment of trunk main capacity</w:t>
            </w:r>
          </w:p>
          <w:p>
            <w:pPr>
              <w:pStyle w:val="NormalWeb"/>
              <w:numPr>
                <w:ilvl w:val="0"/>
                <w:numId w:val="12"/>
              </w:numPr>
              <w:tabs>
                <w:tab w:val="left" w:pos="720" w:leader="none"/>
              </w:tabs>
              <w:bidi w:val="0"/>
              <w:spacing w:before="100" w:after="100"/>
              <w:rPr/>
            </w:pPr>
            <w:r>
              <w:rPr/>
              <w:t>identification of reinforcement needs</w:t>
            </w:r>
          </w:p>
          <w:p>
            <w:pPr>
              <w:pStyle w:val="NormalWeb"/>
              <w:numPr>
                <w:ilvl w:val="0"/>
                <w:numId w:val="12"/>
              </w:numPr>
              <w:tabs>
                <w:tab w:val="left" w:pos="720" w:leader="none"/>
              </w:tabs>
              <w:bidi w:val="0"/>
              <w:spacing w:before="100" w:after="100"/>
              <w:rPr>
                <w:rFonts w:ascii="Times New Roman" w:hAnsi="Times New Roman"/>
              </w:rPr>
            </w:pPr>
            <w:r>
              <w:rPr/>
              <w:t>confirmation from Severn Trent Water</w:t>
            </w:r>
          </w:p>
          <w:p>
            <w:pPr>
              <w:pStyle w:val="NormalWeb"/>
              <w:bidi w:val="0"/>
              <w:spacing w:before="100" w:after="100"/>
              <w:rPr>
                <w:rFonts w:ascii="Times New Roman" w:hAnsi="Times New Roman"/>
              </w:rPr>
            </w:pPr>
            <w:r>
              <w:rPr/>
              <w:t>None of this evidence is provided.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No identification of required upgrades</w:t>
            </w:r>
          </w:p>
          <w:p>
            <w:pPr>
              <w:pStyle w:val="NormalWeb"/>
              <w:bidi w:val="0"/>
              <w:spacing w:before="100" w:after="100"/>
              <w:rPr>
                <w:rFonts w:ascii="Times New Roman" w:hAnsi="Times New Roman"/>
              </w:rPr>
            </w:pPr>
            <w:r>
              <w:rPr/>
              <w:t>Long Marston is remote from major water supply infrastructure. A development of this scale typically requires:</w:t>
            </w:r>
          </w:p>
          <w:p>
            <w:pPr>
              <w:pStyle w:val="NormalWeb"/>
              <w:numPr>
                <w:ilvl w:val="0"/>
                <w:numId w:val="3"/>
              </w:numPr>
              <w:tabs>
                <w:tab w:val="left" w:pos="720" w:leader="none"/>
              </w:tabs>
              <w:bidi w:val="0"/>
              <w:spacing w:before="100" w:after="100"/>
              <w:ind w:hanging="360" w:left="720" w:right="0"/>
              <w:rPr>
                <w:rFonts w:ascii="Times New Roman" w:hAnsi="Times New Roman"/>
              </w:rPr>
            </w:pPr>
            <w:r>
              <w:rPr/>
              <w:t>new trunk mains</w:t>
            </w:r>
          </w:p>
          <w:p>
            <w:pPr>
              <w:pStyle w:val="NormalWeb"/>
              <w:numPr>
                <w:ilvl w:val="0"/>
                <w:numId w:val="3"/>
              </w:numPr>
              <w:tabs>
                <w:tab w:val="left" w:pos="720" w:leader="none"/>
              </w:tabs>
              <w:bidi w:val="0"/>
              <w:spacing w:before="100" w:after="100"/>
              <w:ind w:hanging="360" w:left="720" w:right="0"/>
              <w:rPr>
                <w:rFonts w:ascii="Times New Roman" w:hAnsi="Times New Roman"/>
              </w:rPr>
            </w:pPr>
            <w:r>
              <w:rPr/>
              <w:t>network reinforcement</w:t>
            </w:r>
          </w:p>
          <w:p>
            <w:pPr>
              <w:pStyle w:val="NormalWeb"/>
              <w:numPr>
                <w:ilvl w:val="0"/>
                <w:numId w:val="3"/>
              </w:numPr>
              <w:tabs>
                <w:tab w:val="left" w:pos="720" w:leader="none"/>
              </w:tabs>
              <w:bidi w:val="0"/>
              <w:spacing w:before="100" w:after="100"/>
              <w:ind w:hanging="360" w:left="720" w:right="0"/>
              <w:rPr>
                <w:rFonts w:ascii="Times New Roman" w:hAnsi="Times New Roman"/>
              </w:rPr>
            </w:pPr>
            <w:r>
              <w:rPr/>
              <w:t>pressure management upgrades</w:t>
            </w:r>
          </w:p>
          <w:p>
            <w:pPr>
              <w:pStyle w:val="NormalWeb"/>
              <w:numPr>
                <w:ilvl w:val="0"/>
                <w:numId w:val="3"/>
              </w:numPr>
              <w:tabs>
                <w:tab w:val="left" w:pos="720" w:leader="none"/>
              </w:tabs>
              <w:bidi w:val="0"/>
              <w:spacing w:before="100" w:after="100"/>
              <w:ind w:hanging="360" w:left="720" w:right="0"/>
              <w:rPr>
                <w:rFonts w:ascii="Times New Roman" w:hAnsi="Times New Roman"/>
              </w:rPr>
            </w:pPr>
            <w:r>
              <w:rPr/>
              <w:t>potential new storage capacity</w:t>
            </w:r>
          </w:p>
          <w:p>
            <w:pPr>
              <w:pStyle w:val="NormalWeb"/>
              <w:bidi w:val="0"/>
              <w:spacing w:before="100" w:after="100"/>
              <w:rPr>
                <w:rFonts w:ascii="Times New Roman" w:hAnsi="Times New Roman"/>
              </w:rPr>
            </w:pPr>
            <w:r>
              <w:rPr/>
              <w:t xml:space="preserve">The SWLP does </w:t>
            </w:r>
            <w:r>
              <w:rPr>
                <w:rStyle w:val="Strong"/>
                <w:lang w:val="en-GB" w:eastAsia="en-GB" w:bidi="ar-SA"/>
              </w:rPr>
              <w:t>not</w:t>
            </w:r>
            <w:r>
              <w:rPr/>
              <w:t xml:space="preserve"> identify:</w:t>
            </w:r>
          </w:p>
          <w:p>
            <w:pPr>
              <w:pStyle w:val="NormalWeb"/>
              <w:numPr>
                <w:ilvl w:val="0"/>
                <w:numId w:val="4"/>
              </w:numPr>
              <w:tabs>
                <w:tab w:val="left" w:pos="720" w:leader="none"/>
              </w:tabs>
              <w:bidi w:val="0"/>
              <w:spacing w:before="100" w:after="100"/>
              <w:ind w:hanging="360" w:left="720" w:right="0"/>
              <w:rPr>
                <w:rFonts w:ascii="Times New Roman" w:hAnsi="Times New Roman"/>
              </w:rPr>
            </w:pPr>
            <w:r>
              <w:rPr/>
              <w:t>what upgrades are needed</w:t>
            </w:r>
          </w:p>
          <w:p>
            <w:pPr>
              <w:pStyle w:val="NormalWeb"/>
              <w:numPr>
                <w:ilvl w:val="0"/>
                <w:numId w:val="4"/>
              </w:numPr>
              <w:tabs>
                <w:tab w:val="left" w:pos="720" w:leader="none"/>
              </w:tabs>
              <w:bidi w:val="0"/>
              <w:spacing w:before="100" w:after="100"/>
              <w:ind w:hanging="360" w:left="720" w:right="0"/>
              <w:rPr>
                <w:rFonts w:ascii="Times New Roman" w:hAnsi="Times New Roman"/>
              </w:rPr>
            </w:pPr>
            <w:r>
              <w:rPr/>
              <w:t>where they would be located</w:t>
            </w:r>
          </w:p>
          <w:p>
            <w:pPr>
              <w:pStyle w:val="NormalWeb"/>
              <w:numPr>
                <w:ilvl w:val="0"/>
                <w:numId w:val="4"/>
              </w:numPr>
              <w:tabs>
                <w:tab w:val="left" w:pos="720" w:leader="none"/>
              </w:tabs>
              <w:bidi w:val="0"/>
              <w:spacing w:before="100" w:after="100"/>
              <w:ind w:hanging="360" w:left="720" w:right="0"/>
              <w:rPr>
                <w:rFonts w:ascii="Times New Roman" w:hAnsi="Times New Roman"/>
              </w:rPr>
            </w:pPr>
            <w:r>
              <w:rPr/>
              <w:t>how they would be funded</w:t>
            </w:r>
          </w:p>
          <w:p>
            <w:pPr>
              <w:pStyle w:val="NormalWeb"/>
              <w:numPr>
                <w:ilvl w:val="0"/>
                <w:numId w:val="4"/>
              </w:numPr>
              <w:tabs>
                <w:tab w:val="left" w:pos="720" w:leader="none"/>
              </w:tabs>
              <w:bidi w:val="0"/>
              <w:spacing w:before="100" w:after="100"/>
              <w:ind w:hanging="360" w:left="720" w:right="0"/>
              <w:rPr>
                <w:rFonts w:ascii="Times New Roman" w:hAnsi="Times New Roman"/>
              </w:rPr>
            </w:pPr>
            <w:r>
              <w:rPr/>
              <w:t>whether they are deliverable within the plan period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No engagement evidence with Severn Trent Water</w:t>
            </w:r>
          </w:p>
          <w:p>
            <w:pPr>
              <w:pStyle w:val="NormalWeb"/>
              <w:bidi w:val="0"/>
              <w:spacing w:before="100" w:after="100"/>
              <w:rPr>
                <w:rFonts w:ascii="Times New Roman" w:hAnsi="Times New Roman"/>
              </w:rPr>
            </w:pPr>
            <w:r>
              <w:rPr/>
              <w:t>There is no published:</w:t>
            </w:r>
          </w:p>
          <w:p>
            <w:pPr>
              <w:pStyle w:val="NormalWeb"/>
              <w:numPr>
                <w:ilvl w:val="0"/>
                <w:numId w:val="5"/>
              </w:numPr>
              <w:tabs>
                <w:tab w:val="left" w:pos="720" w:leader="none"/>
              </w:tabs>
              <w:bidi w:val="0"/>
              <w:spacing w:before="100" w:after="100"/>
              <w:ind w:hanging="360" w:left="720" w:right="0"/>
              <w:rPr>
                <w:rFonts w:ascii="Times New Roman" w:hAnsi="Times New Roman"/>
              </w:rPr>
            </w:pPr>
            <w:r>
              <w:rPr/>
              <w:t>Water Infrastructure Delivery Statement</w:t>
            </w:r>
          </w:p>
          <w:p>
            <w:pPr>
              <w:pStyle w:val="NormalWeb"/>
              <w:numPr>
                <w:ilvl w:val="0"/>
                <w:numId w:val="5"/>
              </w:numPr>
              <w:tabs>
                <w:tab w:val="left" w:pos="720" w:leader="none"/>
              </w:tabs>
              <w:bidi w:val="0"/>
              <w:spacing w:before="100" w:after="100"/>
              <w:ind w:hanging="360" w:left="720" w:right="0"/>
              <w:rPr>
                <w:rFonts w:ascii="Times New Roman" w:hAnsi="Times New Roman"/>
              </w:rPr>
            </w:pPr>
            <w:r>
              <w:rPr/>
              <w:t>confirmation of capacity</w:t>
            </w:r>
          </w:p>
          <w:p>
            <w:pPr>
              <w:pStyle w:val="NormalWeb"/>
              <w:numPr>
                <w:ilvl w:val="0"/>
                <w:numId w:val="5"/>
              </w:numPr>
              <w:tabs>
                <w:tab w:val="left" w:pos="720" w:leader="none"/>
              </w:tabs>
              <w:bidi w:val="0"/>
              <w:spacing w:before="100" w:after="100"/>
              <w:ind w:hanging="360" w:left="720" w:right="0"/>
              <w:rPr>
                <w:rFonts w:ascii="Times New Roman" w:hAnsi="Times New Roman"/>
              </w:rPr>
            </w:pPr>
            <w:r>
              <w:rPr/>
              <w:t>confirmation of reinforcement feasibility</w:t>
            </w:r>
          </w:p>
          <w:p>
            <w:pPr>
              <w:pStyle w:val="NormalWeb"/>
              <w:numPr>
                <w:ilvl w:val="0"/>
                <w:numId w:val="5"/>
              </w:numPr>
              <w:tabs>
                <w:tab w:val="left" w:pos="720" w:leader="none"/>
              </w:tabs>
              <w:bidi w:val="0"/>
              <w:spacing w:before="100" w:after="100"/>
              <w:ind w:hanging="360" w:left="720" w:right="0"/>
              <w:rPr>
                <w:rFonts w:ascii="Times New Roman" w:hAnsi="Times New Roman"/>
              </w:rPr>
            </w:pPr>
            <w:r>
              <w:rPr/>
              <w:t>confirmation of delivery timelines</w:t>
            </w:r>
          </w:p>
          <w:p>
            <w:pPr>
              <w:pStyle w:val="NormalWeb"/>
              <w:bidi w:val="0"/>
              <w:spacing w:before="100" w:after="100"/>
              <w:rPr>
                <w:rFonts w:ascii="Times New Roman" w:hAnsi="Times New Roman"/>
              </w:rPr>
            </w:pPr>
            <w:r>
              <w:rPr/>
              <w:t xml:space="preserve">This is a clear breach of </w:t>
            </w:r>
            <w:r>
              <w:rPr>
                <w:rStyle w:val="Strong"/>
                <w:lang w:val="en-GB" w:eastAsia="en-GB" w:bidi="ar-SA"/>
              </w:rPr>
              <w:t>NPPF §31</w:t>
            </w:r>
            <w:r>
              <w:rPr/>
              <w:t>, which requires proportionate evidence.</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 Failure of Soundness – Not Effective (NPPF §35)</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4.1 No infrastructure-first phasing</w:t>
            </w:r>
          </w:p>
          <w:p>
            <w:pPr>
              <w:pStyle w:val="NormalWeb"/>
              <w:bidi w:val="0"/>
              <w:spacing w:before="100" w:after="100"/>
              <w:rPr>
                <w:rFonts w:ascii="Times New Roman" w:hAnsi="Times New Roman"/>
              </w:rPr>
            </w:pPr>
            <w:r>
              <w:rPr/>
              <w:t xml:space="preserve">ID.11 requires utilities capacity to be demonstrated </w:t>
            </w:r>
            <w:r>
              <w:rPr>
                <w:rStyle w:val="Strong"/>
                <w:lang w:val="en-GB" w:eastAsia="en-GB" w:bidi="ar-SA"/>
              </w:rPr>
              <w:t>before allocation</w:t>
            </w:r>
            <w:r>
              <w:rPr/>
              <w:t xml:space="preserve">. Proposal LMA provides </w:t>
            </w:r>
            <w:r>
              <w:rPr>
                <w:rStyle w:val="Strong"/>
                <w:lang w:val="en-GB" w:eastAsia="en-GB" w:bidi="ar-SA"/>
              </w:rPr>
              <w:t>no binding triggers</w:t>
            </w:r>
            <w:r>
              <w:rPr/>
              <w:t xml:space="preserve"> ensuring:</w:t>
            </w:r>
          </w:p>
          <w:p>
            <w:pPr>
              <w:pStyle w:val="NormalWeb"/>
              <w:numPr>
                <w:ilvl w:val="0"/>
                <w:numId w:val="6"/>
              </w:numPr>
              <w:tabs>
                <w:tab w:val="left" w:pos="720" w:leader="none"/>
              </w:tabs>
              <w:bidi w:val="0"/>
              <w:spacing w:before="100" w:after="100"/>
              <w:ind w:hanging="360" w:left="720" w:right="0"/>
              <w:rPr>
                <w:rFonts w:ascii="Times New Roman" w:hAnsi="Times New Roman"/>
              </w:rPr>
            </w:pPr>
            <w:r>
              <w:rPr/>
              <w:t>water supply upgrades</w:t>
            </w:r>
          </w:p>
          <w:p>
            <w:pPr>
              <w:pStyle w:val="NormalWeb"/>
              <w:numPr>
                <w:ilvl w:val="0"/>
                <w:numId w:val="6"/>
              </w:numPr>
              <w:tabs>
                <w:tab w:val="left" w:pos="720" w:leader="none"/>
              </w:tabs>
              <w:bidi w:val="0"/>
              <w:spacing w:before="100" w:after="100"/>
              <w:ind w:hanging="360" w:left="720" w:right="0"/>
              <w:rPr>
                <w:rFonts w:ascii="Times New Roman" w:hAnsi="Times New Roman"/>
              </w:rPr>
            </w:pPr>
            <w:r>
              <w:rPr/>
              <w:t>trunk main reinforcement</w:t>
            </w:r>
          </w:p>
          <w:p>
            <w:pPr>
              <w:pStyle w:val="NormalWeb"/>
              <w:numPr>
                <w:ilvl w:val="0"/>
                <w:numId w:val="6"/>
              </w:numPr>
              <w:tabs>
                <w:tab w:val="left" w:pos="720" w:leader="none"/>
              </w:tabs>
              <w:bidi w:val="0"/>
              <w:spacing w:before="100" w:after="100"/>
              <w:ind w:hanging="360" w:left="720" w:right="0"/>
              <w:rPr>
                <w:rFonts w:ascii="Times New Roman" w:hAnsi="Times New Roman"/>
              </w:rPr>
            </w:pPr>
            <w:r>
              <w:rPr/>
              <w:t>pressure management improvements</w:t>
            </w:r>
          </w:p>
          <w:p>
            <w:pPr>
              <w:pStyle w:val="NormalWeb"/>
              <w:bidi w:val="0"/>
              <w:spacing w:before="100" w:after="100"/>
              <w:rPr>
                <w:rFonts w:ascii="Times New Roman" w:hAnsi="Times New Roman"/>
              </w:rPr>
            </w:pPr>
            <w:r>
              <w:rPr/>
              <w:t xml:space="preserve">are delivered </w:t>
            </w:r>
            <w:r>
              <w:rPr>
                <w:rStyle w:val="Strong"/>
                <w:lang w:val="en-GB" w:eastAsia="en-GB" w:bidi="ar-SA"/>
              </w:rPr>
              <w:t>before occupation</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4.2 Risk of supply failure</w:t>
            </w:r>
          </w:p>
          <w:p>
            <w:pPr>
              <w:pStyle w:val="NormalWeb"/>
              <w:bidi w:val="0"/>
              <w:spacing w:before="100" w:after="100"/>
              <w:rPr>
                <w:rFonts w:ascii="Times New Roman" w:hAnsi="Times New Roman"/>
              </w:rPr>
            </w:pPr>
            <w:r>
              <w:rPr/>
              <w:t>Without confirmed upgrades, LMA risks:</w:t>
            </w:r>
          </w:p>
          <w:p>
            <w:pPr>
              <w:pStyle w:val="NormalWeb"/>
              <w:numPr>
                <w:ilvl w:val="0"/>
                <w:numId w:val="7"/>
              </w:numPr>
              <w:tabs>
                <w:tab w:val="left" w:pos="720" w:leader="none"/>
              </w:tabs>
              <w:bidi w:val="0"/>
              <w:spacing w:before="100" w:after="100"/>
              <w:ind w:hanging="360" w:left="720" w:right="0"/>
              <w:rPr>
                <w:rFonts w:ascii="Times New Roman" w:hAnsi="Times New Roman"/>
              </w:rPr>
            </w:pPr>
            <w:r>
              <w:rPr/>
              <w:t>insufficient peak supply</w:t>
            </w:r>
          </w:p>
          <w:p>
            <w:pPr>
              <w:pStyle w:val="NormalWeb"/>
              <w:numPr>
                <w:ilvl w:val="0"/>
                <w:numId w:val="7"/>
              </w:numPr>
              <w:tabs>
                <w:tab w:val="left" w:pos="720" w:leader="none"/>
              </w:tabs>
              <w:bidi w:val="0"/>
              <w:spacing w:before="100" w:after="100"/>
              <w:ind w:hanging="360" w:left="720" w:right="0"/>
              <w:rPr>
                <w:rFonts w:ascii="Times New Roman" w:hAnsi="Times New Roman"/>
              </w:rPr>
            </w:pPr>
            <w:r>
              <w:rPr/>
              <w:t>pressure drops</w:t>
            </w:r>
          </w:p>
          <w:p>
            <w:pPr>
              <w:pStyle w:val="NormalWeb"/>
              <w:numPr>
                <w:ilvl w:val="0"/>
                <w:numId w:val="7"/>
              </w:numPr>
              <w:tabs>
                <w:tab w:val="left" w:pos="720" w:leader="none"/>
              </w:tabs>
              <w:bidi w:val="0"/>
              <w:spacing w:before="100" w:after="100"/>
              <w:ind w:hanging="360" w:left="720" w:right="0"/>
              <w:rPr>
                <w:rFonts w:ascii="Times New Roman" w:hAnsi="Times New Roman"/>
              </w:rPr>
            </w:pPr>
            <w:r>
              <w:rPr/>
              <w:t>network stress</w:t>
            </w:r>
          </w:p>
          <w:p>
            <w:pPr>
              <w:pStyle w:val="NormalWeb"/>
              <w:numPr>
                <w:ilvl w:val="0"/>
                <w:numId w:val="7"/>
              </w:numPr>
              <w:tabs>
                <w:tab w:val="left" w:pos="720" w:leader="none"/>
              </w:tabs>
              <w:bidi w:val="0"/>
              <w:spacing w:before="100" w:after="100"/>
              <w:ind w:hanging="360" w:left="720" w:right="0"/>
              <w:rPr>
                <w:rFonts w:ascii="Times New Roman" w:hAnsi="Times New Roman"/>
              </w:rPr>
            </w:pPr>
            <w:r>
              <w:rPr/>
              <w:t>service interruptions</w:t>
            </w:r>
          </w:p>
          <w:p>
            <w:pPr>
              <w:pStyle w:val="NormalWeb"/>
              <w:numPr>
                <w:ilvl w:val="0"/>
                <w:numId w:val="7"/>
              </w:numPr>
              <w:tabs>
                <w:tab w:val="left" w:pos="720" w:leader="none"/>
              </w:tabs>
              <w:bidi w:val="0"/>
              <w:spacing w:before="100" w:after="100"/>
              <w:ind w:hanging="360" w:left="720" w:right="0"/>
              <w:rPr>
                <w:rFonts w:ascii="Times New Roman" w:hAnsi="Times New Roman"/>
              </w:rPr>
            </w:pPr>
            <w:r>
              <w:rPr/>
              <w:t>inability to support heat pumps and net-zero design (which increase water demand for heating systems)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4.3 No delivery plan</w:t>
            </w:r>
          </w:p>
          <w:p>
            <w:pPr>
              <w:pStyle w:val="NormalWeb"/>
              <w:bidi w:val="0"/>
              <w:spacing w:before="100" w:after="100"/>
              <w:rPr>
                <w:rFonts w:ascii="Times New Roman" w:hAnsi="Times New Roman"/>
              </w:rPr>
            </w:pPr>
            <w:r>
              <w:rPr/>
              <w:t>The plan does not include:</w:t>
            </w:r>
          </w:p>
          <w:p>
            <w:pPr>
              <w:pStyle w:val="NormalWeb"/>
              <w:numPr>
                <w:ilvl w:val="0"/>
                <w:numId w:val="8"/>
              </w:numPr>
              <w:tabs>
                <w:tab w:val="left" w:pos="720" w:leader="none"/>
              </w:tabs>
              <w:bidi w:val="0"/>
              <w:spacing w:before="100" w:after="100"/>
              <w:ind w:hanging="360" w:left="720" w:right="0"/>
              <w:rPr>
                <w:rFonts w:ascii="Times New Roman" w:hAnsi="Times New Roman"/>
              </w:rPr>
            </w:pPr>
            <w:r>
              <w:rPr/>
              <w:t>funding mechanisms</w:t>
            </w:r>
          </w:p>
          <w:p>
            <w:pPr>
              <w:pStyle w:val="NormalWeb"/>
              <w:numPr>
                <w:ilvl w:val="0"/>
                <w:numId w:val="8"/>
              </w:numPr>
              <w:tabs>
                <w:tab w:val="left" w:pos="720" w:leader="none"/>
              </w:tabs>
              <w:bidi w:val="0"/>
              <w:spacing w:before="100" w:after="100"/>
              <w:ind w:hanging="360" w:left="720" w:right="0"/>
              <w:rPr>
                <w:rFonts w:ascii="Times New Roman" w:hAnsi="Times New Roman"/>
              </w:rPr>
            </w:pPr>
            <w:r>
              <w:rPr/>
              <w:t>delivery partners</w:t>
            </w:r>
          </w:p>
          <w:p>
            <w:pPr>
              <w:pStyle w:val="NormalWeb"/>
              <w:numPr>
                <w:ilvl w:val="0"/>
                <w:numId w:val="8"/>
              </w:numPr>
              <w:tabs>
                <w:tab w:val="left" w:pos="720" w:leader="none"/>
              </w:tabs>
              <w:bidi w:val="0"/>
              <w:spacing w:before="100" w:after="100"/>
              <w:ind w:hanging="360" w:left="720" w:right="0"/>
              <w:rPr>
                <w:rFonts w:ascii="Times New Roman" w:hAnsi="Times New Roman"/>
              </w:rPr>
            </w:pPr>
            <w:r>
              <w:rPr/>
              <w:t>timelines</w:t>
            </w:r>
          </w:p>
          <w:p>
            <w:pPr>
              <w:pStyle w:val="NormalWeb"/>
              <w:numPr>
                <w:ilvl w:val="0"/>
                <w:numId w:val="8"/>
              </w:numPr>
              <w:tabs>
                <w:tab w:val="left" w:pos="720" w:leader="none"/>
              </w:tabs>
              <w:bidi w:val="0"/>
              <w:spacing w:before="100" w:after="100"/>
              <w:ind w:hanging="360" w:left="720" w:right="0"/>
              <w:rPr>
                <w:rFonts w:ascii="Times New Roman" w:hAnsi="Times New Roman"/>
              </w:rPr>
            </w:pPr>
            <w:r>
              <w:rPr/>
              <w:t>risk assessments</w:t>
            </w:r>
          </w:p>
          <w:p>
            <w:pPr>
              <w:pStyle w:val="NormalWeb"/>
              <w:numPr>
                <w:ilvl w:val="0"/>
                <w:numId w:val="8"/>
              </w:numPr>
              <w:tabs>
                <w:tab w:val="left" w:pos="720" w:leader="none"/>
              </w:tabs>
              <w:bidi w:val="0"/>
              <w:spacing w:before="100" w:after="100"/>
              <w:ind w:hanging="360" w:left="720" w:right="0"/>
              <w:rPr>
                <w:rFonts w:ascii="Times New Roman" w:hAnsi="Times New Roman"/>
              </w:rPr>
            </w:pPr>
            <w:r>
              <w:rPr/>
              <w:t>contingency planning</w:t>
            </w:r>
          </w:p>
          <w:p>
            <w:pPr>
              <w:pStyle w:val="NormalWeb"/>
              <w:bidi w:val="0"/>
              <w:spacing w:before="100" w:after="100"/>
              <w:rPr>
                <w:rFonts w:ascii="Times New Roman" w:hAnsi="Times New Roman"/>
              </w:rPr>
            </w:pPr>
            <w:r>
              <w:rPr/>
              <w:t xml:space="preserve">This makes the allocation </w:t>
            </w:r>
            <w:r>
              <w:rPr>
                <w:rStyle w:val="Strong"/>
                <w:lang w:val="en-GB" w:eastAsia="en-GB" w:bidi="ar-SA"/>
              </w:rPr>
              <w:t>not effective</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Failure of Soundness – Not Consistent with National Policy (NPPF §159)</w:t>
            </w:r>
          </w:p>
          <w:p>
            <w:pPr>
              <w:pStyle w:val="NormalWeb"/>
              <w:bidi w:val="0"/>
              <w:spacing w:before="100" w:after="100"/>
              <w:rPr>
                <w:rFonts w:ascii="Times New Roman" w:hAnsi="Times New Roman"/>
              </w:rPr>
            </w:pPr>
            <w:r>
              <w:rPr/>
              <w:t>NPPF §159 requires planning authorities to ensure:</w:t>
            </w:r>
          </w:p>
          <w:p>
            <w:pPr>
              <w:pStyle w:val="NormalWeb"/>
              <w:numPr>
                <w:ilvl w:val="0"/>
                <w:numId w:val="9"/>
              </w:numPr>
              <w:tabs>
                <w:tab w:val="left" w:pos="720" w:leader="none"/>
              </w:tabs>
              <w:bidi w:val="0"/>
              <w:spacing w:before="100" w:after="100"/>
              <w:ind w:hanging="360" w:left="720" w:right="0"/>
              <w:rPr>
                <w:rFonts w:ascii="Times New Roman" w:hAnsi="Times New Roman"/>
              </w:rPr>
            </w:pPr>
            <w:r>
              <w:rPr/>
              <w:t>adequate water supply</w:t>
            </w:r>
          </w:p>
          <w:p>
            <w:pPr>
              <w:pStyle w:val="NormalWeb"/>
              <w:numPr>
                <w:ilvl w:val="0"/>
                <w:numId w:val="9"/>
              </w:numPr>
              <w:tabs>
                <w:tab w:val="left" w:pos="720" w:leader="none"/>
              </w:tabs>
              <w:bidi w:val="0"/>
              <w:spacing w:before="100" w:after="100"/>
              <w:ind w:hanging="360" w:left="720" w:right="0"/>
              <w:rPr>
                <w:rFonts w:ascii="Times New Roman" w:hAnsi="Times New Roman"/>
              </w:rPr>
            </w:pPr>
            <w:r>
              <w:rPr/>
              <w:t>water network resilience</w:t>
            </w:r>
          </w:p>
          <w:p>
            <w:pPr>
              <w:pStyle w:val="NormalWeb"/>
              <w:numPr>
                <w:ilvl w:val="0"/>
                <w:numId w:val="9"/>
              </w:numPr>
              <w:tabs>
                <w:tab w:val="left" w:pos="720" w:leader="none"/>
              </w:tabs>
              <w:bidi w:val="0"/>
              <w:spacing w:before="100" w:after="100"/>
              <w:ind w:hanging="360" w:left="720" w:right="0"/>
              <w:rPr>
                <w:rFonts w:ascii="Times New Roman" w:hAnsi="Times New Roman"/>
              </w:rPr>
            </w:pPr>
            <w:r>
              <w:rPr/>
              <w:t>sustainable water management</w:t>
            </w:r>
          </w:p>
          <w:p>
            <w:pPr>
              <w:pStyle w:val="NormalWeb"/>
              <w:numPr>
                <w:ilvl w:val="0"/>
                <w:numId w:val="9"/>
              </w:numPr>
              <w:tabs>
                <w:tab w:val="left" w:pos="720" w:leader="none"/>
              </w:tabs>
              <w:bidi w:val="0"/>
              <w:spacing w:before="100" w:after="100"/>
              <w:ind w:hanging="360" w:left="720" w:right="0"/>
              <w:rPr>
                <w:rFonts w:ascii="Times New Roman" w:hAnsi="Times New Roman"/>
              </w:rPr>
            </w:pPr>
            <w:r>
              <w:rPr/>
              <w:t>coordination with water providers</w:t>
            </w:r>
          </w:p>
          <w:p>
            <w:pPr>
              <w:pStyle w:val="NormalWeb"/>
              <w:bidi w:val="0"/>
              <w:spacing w:before="100" w:after="100"/>
              <w:rPr>
                <w:rFonts w:ascii="Times New Roman" w:hAnsi="Times New Roman"/>
              </w:rPr>
            </w:pPr>
            <w:r>
              <w:rPr/>
              <w:t>The SWLP does not demonstrate:</w:t>
            </w:r>
          </w:p>
          <w:p>
            <w:pPr>
              <w:pStyle w:val="NormalWeb"/>
              <w:numPr>
                <w:ilvl w:val="0"/>
                <w:numId w:val="10"/>
              </w:numPr>
              <w:tabs>
                <w:tab w:val="left" w:pos="720" w:leader="none"/>
              </w:tabs>
              <w:bidi w:val="0"/>
              <w:spacing w:before="100" w:after="100"/>
              <w:ind w:hanging="360" w:left="720" w:right="0"/>
              <w:rPr>
                <w:rFonts w:ascii="Times New Roman" w:hAnsi="Times New Roman"/>
              </w:rPr>
            </w:pPr>
            <w:r>
              <w:rPr/>
              <w:t>that water supply exists</w:t>
            </w:r>
          </w:p>
          <w:p>
            <w:pPr>
              <w:pStyle w:val="NormalWeb"/>
              <w:numPr>
                <w:ilvl w:val="0"/>
                <w:numId w:val="10"/>
              </w:numPr>
              <w:tabs>
                <w:tab w:val="left" w:pos="720" w:leader="none"/>
              </w:tabs>
              <w:bidi w:val="0"/>
              <w:spacing w:before="100" w:after="100"/>
              <w:ind w:hanging="360" w:left="720" w:right="0"/>
              <w:rPr>
                <w:rFonts w:ascii="Times New Roman" w:hAnsi="Times New Roman"/>
              </w:rPr>
            </w:pPr>
            <w:r>
              <w:rPr/>
              <w:t>that reinforcement is feasible</w:t>
            </w:r>
          </w:p>
          <w:p>
            <w:pPr>
              <w:pStyle w:val="NormalWeb"/>
              <w:numPr>
                <w:ilvl w:val="0"/>
                <w:numId w:val="10"/>
              </w:numPr>
              <w:tabs>
                <w:tab w:val="left" w:pos="720" w:leader="none"/>
              </w:tabs>
              <w:bidi w:val="0"/>
              <w:spacing w:before="100" w:after="100"/>
              <w:ind w:hanging="360" w:left="720" w:right="0"/>
              <w:rPr>
                <w:rFonts w:ascii="Times New Roman" w:hAnsi="Times New Roman"/>
              </w:rPr>
            </w:pPr>
            <w:r>
              <w:rPr/>
              <w:t>that delivery is achievable</w:t>
            </w:r>
          </w:p>
          <w:p>
            <w:pPr>
              <w:pStyle w:val="NormalWeb"/>
              <w:numPr>
                <w:ilvl w:val="0"/>
                <w:numId w:val="10"/>
              </w:numPr>
              <w:tabs>
                <w:tab w:val="left" w:pos="720" w:leader="none"/>
              </w:tabs>
              <w:bidi w:val="0"/>
              <w:spacing w:before="100" w:after="100"/>
              <w:ind w:hanging="360" w:left="720" w:right="0"/>
              <w:rPr>
                <w:rFonts w:ascii="Times New Roman" w:hAnsi="Times New Roman"/>
              </w:rPr>
            </w:pPr>
            <w:r>
              <w:rPr/>
              <w:t>that the settlement is resilient</w:t>
            </w:r>
          </w:p>
          <w:p>
            <w:pPr>
              <w:pStyle w:val="NormalWeb"/>
              <w:bidi w:val="0"/>
              <w:spacing w:before="100" w:after="100"/>
              <w:rPr>
                <w:rFonts w:ascii="Times New Roman" w:hAnsi="Times New Roman"/>
              </w:rPr>
            </w:pPr>
            <w:r>
              <w:rPr/>
              <w:t>This is a direct conflict with national policy.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6. Requested Modifications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a full water supply capacity and network assessment</w:t>
            </w:r>
          </w:p>
          <w:p>
            <w:pPr>
              <w:pStyle w:val="NormalWeb"/>
              <w:bidi w:val="0"/>
              <w:spacing w:before="100" w:after="100"/>
              <w:rPr>
                <w:rFonts w:ascii="Times New Roman" w:hAnsi="Times New Roman"/>
              </w:rPr>
            </w:pPr>
            <w:r>
              <w:rPr/>
              <w:t>Including:</w:t>
            </w:r>
          </w:p>
          <w:p>
            <w:pPr>
              <w:pStyle w:val="NormalWeb"/>
              <w:numPr>
                <w:ilvl w:val="0"/>
                <w:numId w:val="13"/>
              </w:numPr>
              <w:tabs>
                <w:tab w:val="left" w:pos="720" w:leader="none"/>
              </w:tabs>
              <w:bidi w:val="0"/>
              <w:spacing w:before="100" w:after="100"/>
              <w:rPr/>
            </w:pPr>
            <w:r>
              <w:rPr/>
              <w:t>peak demand modelling</w:t>
            </w:r>
          </w:p>
          <w:p>
            <w:pPr>
              <w:pStyle w:val="NormalWeb"/>
              <w:numPr>
                <w:ilvl w:val="0"/>
                <w:numId w:val="13"/>
              </w:numPr>
              <w:tabs>
                <w:tab w:val="left" w:pos="720" w:leader="none"/>
              </w:tabs>
              <w:bidi w:val="0"/>
              <w:spacing w:before="100" w:after="100"/>
              <w:rPr/>
            </w:pPr>
            <w:r>
              <w:rPr/>
              <w:t>trunk main capacity analysis</w:t>
            </w:r>
          </w:p>
          <w:p>
            <w:pPr>
              <w:pStyle w:val="NormalWeb"/>
              <w:numPr>
                <w:ilvl w:val="0"/>
                <w:numId w:val="13"/>
              </w:numPr>
              <w:tabs>
                <w:tab w:val="left" w:pos="720" w:leader="none"/>
              </w:tabs>
              <w:bidi w:val="0"/>
              <w:spacing w:before="100" w:after="100"/>
              <w:rPr/>
            </w:pPr>
            <w:r>
              <w:rPr/>
              <w:t>reinforcement requirements</w:t>
            </w:r>
          </w:p>
          <w:p>
            <w:pPr>
              <w:pStyle w:val="NormalWeb"/>
              <w:numPr>
                <w:ilvl w:val="0"/>
                <w:numId w:val="13"/>
              </w:numPr>
              <w:tabs>
                <w:tab w:val="left" w:pos="720" w:leader="none"/>
              </w:tabs>
              <w:bidi w:val="0"/>
              <w:spacing w:before="100" w:after="100"/>
              <w:rPr/>
            </w:pPr>
            <w:r>
              <w:rPr/>
              <w:t>costings</w:t>
            </w:r>
          </w:p>
          <w:p>
            <w:pPr>
              <w:pStyle w:val="NormalWeb"/>
              <w:numPr>
                <w:ilvl w:val="0"/>
                <w:numId w:val="13"/>
              </w:numPr>
              <w:tabs>
                <w:tab w:val="left" w:pos="720" w:leader="none"/>
              </w:tabs>
              <w:bidi w:val="0"/>
              <w:spacing w:before="100" w:after="100"/>
              <w:rPr/>
            </w:pPr>
            <w:r>
              <w:rPr/>
              <w:t>delivery timelines</w:t>
            </w:r>
          </w:p>
          <w:p>
            <w:pPr>
              <w:pStyle w:val="NormalWeb"/>
              <w:numPr>
                <w:ilvl w:val="0"/>
                <w:numId w:val="13"/>
              </w:numPr>
              <w:tabs>
                <w:tab w:val="left" w:pos="720" w:leader="none"/>
              </w:tabs>
              <w:bidi w:val="0"/>
              <w:spacing w:before="100" w:after="100"/>
              <w:rPr>
                <w:rFonts w:ascii="Times New Roman" w:hAnsi="Times New Roman"/>
              </w:rPr>
            </w:pPr>
            <w:r>
              <w:rPr/>
              <w:t>Severn Trent Water confirmation</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Identify required infrastructure</w:t>
            </w:r>
          </w:p>
          <w:p>
            <w:pPr>
              <w:pStyle w:val="NormalWeb"/>
              <w:bidi w:val="0"/>
              <w:spacing w:before="100" w:after="100"/>
              <w:rPr>
                <w:rFonts w:ascii="Times New Roman" w:hAnsi="Times New Roman"/>
              </w:rPr>
            </w:pPr>
            <w:r>
              <w:rPr/>
              <w:t>Including:</w:t>
            </w:r>
          </w:p>
          <w:p>
            <w:pPr>
              <w:pStyle w:val="NormalWeb"/>
              <w:numPr>
                <w:ilvl w:val="0"/>
                <w:numId w:val="14"/>
              </w:numPr>
              <w:tabs>
                <w:tab w:val="left" w:pos="720" w:leader="none"/>
              </w:tabs>
              <w:bidi w:val="0"/>
              <w:spacing w:before="100" w:after="100"/>
              <w:rPr/>
            </w:pPr>
            <w:r>
              <w:rPr/>
              <w:t>new trunk mains</w:t>
            </w:r>
          </w:p>
          <w:p>
            <w:pPr>
              <w:pStyle w:val="NormalWeb"/>
              <w:numPr>
                <w:ilvl w:val="0"/>
                <w:numId w:val="14"/>
              </w:numPr>
              <w:tabs>
                <w:tab w:val="left" w:pos="720" w:leader="none"/>
              </w:tabs>
              <w:bidi w:val="0"/>
              <w:spacing w:before="100" w:after="100"/>
              <w:rPr/>
            </w:pPr>
            <w:r>
              <w:rPr/>
              <w:t>network reinforcement</w:t>
            </w:r>
          </w:p>
          <w:p>
            <w:pPr>
              <w:pStyle w:val="NormalWeb"/>
              <w:numPr>
                <w:ilvl w:val="0"/>
                <w:numId w:val="14"/>
              </w:numPr>
              <w:tabs>
                <w:tab w:val="left" w:pos="720" w:leader="none"/>
              </w:tabs>
              <w:bidi w:val="0"/>
              <w:spacing w:before="100" w:after="100"/>
              <w:rPr/>
            </w:pPr>
            <w:r>
              <w:rPr/>
              <w:t>pressure management upgrades</w:t>
            </w:r>
          </w:p>
          <w:p>
            <w:pPr>
              <w:pStyle w:val="NormalWeb"/>
              <w:numPr>
                <w:ilvl w:val="0"/>
                <w:numId w:val="14"/>
              </w:numPr>
              <w:tabs>
                <w:tab w:val="left" w:pos="720" w:leader="none"/>
              </w:tabs>
              <w:bidi w:val="0"/>
              <w:spacing w:before="100" w:after="100"/>
              <w:rPr>
                <w:rFonts w:ascii="Times New Roman" w:hAnsi="Times New Roman"/>
              </w:rPr>
            </w:pPr>
            <w:r>
              <w:rPr/>
              <w:t>storage capacity improvements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Provide binding infrastructure-first phasing triggers</w:t>
            </w:r>
          </w:p>
          <w:p>
            <w:pPr>
              <w:pStyle w:val="NormalWeb"/>
              <w:bidi w:val="0"/>
              <w:spacing w:before="100" w:after="100"/>
              <w:rPr>
                <w:rFonts w:ascii="Times New Roman" w:hAnsi="Times New Roman"/>
              </w:rPr>
            </w:pPr>
            <w:r>
              <w:rPr/>
              <w:t>Occupation of LMA must be prohibited until:</w:t>
            </w:r>
          </w:p>
          <w:p>
            <w:pPr>
              <w:pStyle w:val="NormalWeb"/>
              <w:numPr>
                <w:ilvl w:val="0"/>
                <w:numId w:val="3"/>
              </w:numPr>
              <w:tabs>
                <w:tab w:val="left" w:pos="720" w:leader="none"/>
              </w:tabs>
              <w:bidi w:val="0"/>
              <w:spacing w:before="100" w:after="100"/>
              <w:ind w:hanging="360" w:left="720" w:right="0"/>
              <w:rPr>
                <w:rFonts w:ascii="Times New Roman" w:hAnsi="Times New Roman"/>
              </w:rPr>
            </w:pPr>
            <w:r>
              <w:rPr/>
              <w:t>water supply upgrades are complete</w:t>
            </w:r>
          </w:p>
          <w:p>
            <w:pPr>
              <w:pStyle w:val="NormalWeb"/>
              <w:numPr>
                <w:ilvl w:val="0"/>
                <w:numId w:val="3"/>
              </w:numPr>
              <w:tabs>
                <w:tab w:val="left" w:pos="720" w:leader="none"/>
              </w:tabs>
              <w:bidi w:val="0"/>
              <w:spacing w:before="100" w:after="100"/>
              <w:ind w:hanging="360" w:left="720" w:right="0"/>
              <w:rPr>
                <w:rFonts w:ascii="Times New Roman" w:hAnsi="Times New Roman"/>
              </w:rPr>
            </w:pPr>
            <w:r>
              <w:rPr/>
              <w:t>trunk main reinforcement is operational</w:t>
            </w:r>
          </w:p>
          <w:p>
            <w:pPr>
              <w:pStyle w:val="NormalWeb"/>
              <w:numPr>
                <w:ilvl w:val="0"/>
                <w:numId w:val="3"/>
              </w:numPr>
              <w:tabs>
                <w:tab w:val="left" w:pos="720" w:leader="none"/>
              </w:tabs>
              <w:bidi w:val="0"/>
              <w:spacing w:before="100" w:after="100"/>
              <w:ind w:hanging="360" w:left="720" w:right="0"/>
              <w:rPr>
                <w:rFonts w:ascii="Times New Roman" w:hAnsi="Times New Roman"/>
              </w:rPr>
            </w:pPr>
            <w:r>
              <w:rPr/>
              <w:t>network resilience is confirmed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Reassess the scale of LMA</w:t>
            </w:r>
          </w:p>
          <w:p>
            <w:pPr>
              <w:pStyle w:val="NormalWeb"/>
              <w:bidi w:val="0"/>
              <w:spacing w:before="100" w:after="100"/>
              <w:rPr>
                <w:rFonts w:ascii="Times New Roman" w:hAnsi="Times New Roman"/>
              </w:rPr>
            </w:pPr>
            <w:r>
              <w:rPr/>
              <w:t>If water supply cannot be delivered within the plan period, the allocation must be:</w:t>
            </w:r>
          </w:p>
          <w:p>
            <w:pPr>
              <w:pStyle w:val="NormalWeb"/>
              <w:numPr>
                <w:ilvl w:val="0"/>
                <w:numId w:val="4"/>
              </w:numPr>
              <w:tabs>
                <w:tab w:val="left" w:pos="720" w:leader="none"/>
              </w:tabs>
              <w:bidi w:val="0"/>
              <w:spacing w:before="100" w:after="100"/>
              <w:ind w:hanging="360" w:left="720" w:right="0"/>
              <w:rPr>
                <w:rFonts w:ascii="Times New Roman" w:hAnsi="Times New Roman"/>
              </w:rPr>
            </w:pPr>
            <w:r>
              <w:rPr/>
              <w:t>reduced</w:t>
            </w:r>
          </w:p>
          <w:p>
            <w:pPr>
              <w:pStyle w:val="NormalWeb"/>
              <w:numPr>
                <w:ilvl w:val="0"/>
                <w:numId w:val="4"/>
              </w:numPr>
              <w:tabs>
                <w:tab w:val="left" w:pos="720" w:leader="none"/>
              </w:tabs>
              <w:bidi w:val="0"/>
              <w:spacing w:before="100" w:after="100"/>
              <w:ind w:hanging="360" w:left="720" w:right="0"/>
              <w:rPr>
                <w:rFonts w:ascii="Times New Roman" w:hAnsi="Times New Roman"/>
              </w:rPr>
            </w:pPr>
            <w:r>
              <w:rPr/>
              <w:t>rephased</w:t>
            </w:r>
          </w:p>
          <w:p>
            <w:pPr>
              <w:pStyle w:val="NormalWeb"/>
              <w:numPr>
                <w:ilvl w:val="0"/>
                <w:numId w:val="4"/>
              </w:numPr>
              <w:tabs>
                <w:tab w:val="left" w:pos="720" w:leader="none"/>
              </w:tabs>
              <w:bidi w:val="0"/>
              <w:spacing w:before="100" w:after="100"/>
              <w:ind w:hanging="360" w:left="720" w:right="0"/>
              <w:rPr>
                <w:rFonts w:ascii="Times New Roman" w:hAnsi="Times New Roman"/>
              </w:rPr>
            </w:pPr>
            <w:r>
              <w:rPr/>
              <w:t>or replaced with less constrained alternatives</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7.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 the SWLP Reg 19 Publication Version provides </w:t>
            </w:r>
            <w:r>
              <w:rPr>
                <w:rStyle w:val="Strong"/>
                <w:lang w:val="en-GB" w:eastAsia="en-GB" w:bidi="ar-SA"/>
              </w:rPr>
              <w:t>no evidence</w:t>
            </w:r>
            <w:r>
              <w:rPr/>
              <w:t xml:space="preserve"> that the development can be supplied with sufficient potable water or connected to a reinforced water network.</w:t>
            </w:r>
          </w:p>
          <w:p>
            <w:pPr>
              <w:pStyle w:val="NormalWeb"/>
              <w:bidi w:val="0"/>
              <w:spacing w:before="100" w:after="100"/>
              <w:rPr>
                <w:rFonts w:ascii="Times New Roman" w:hAnsi="Times New Roman"/>
              </w:rPr>
            </w:pPr>
            <w:r>
              <w:rPr/>
              <w:t>The allocation is:</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Justified</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Effective</w:t>
            </w:r>
          </w:p>
          <w:p>
            <w:pPr>
              <w:pStyle w:val="NormalWeb"/>
              <w:numPr>
                <w:ilvl w:val="0"/>
                <w:numId w:val="5"/>
              </w:numPr>
              <w:tabs>
                <w:tab w:val="left" w:pos="720" w:leader="none"/>
              </w:tabs>
              <w:bidi w:val="0"/>
              <w:spacing w:before="100" w:after="100"/>
              <w:ind w:hanging="360" w:left="720" w:right="0"/>
              <w:rPr>
                <w:rFonts w:ascii="Times New Roman" w:hAnsi="Times New Roman"/>
              </w:rPr>
            </w:pPr>
            <w:r>
              <w:rPr>
                <w:rStyle w:val="Strong"/>
                <w:lang w:val="en-GB" w:eastAsia="en-GB" w:bidi="ar-SA"/>
              </w:rPr>
              <w:t>Not Consistent with National Policy</w:t>
            </w:r>
          </w:p>
          <w:p>
            <w:pPr>
              <w:pStyle w:val="NormalWeb"/>
              <w:bidi w:val="0"/>
              <w:spacing w:before="100" w:after="100"/>
              <w:rPr>
                <w:rFonts w:ascii="Times New Roman" w:hAnsi="Times New Roman"/>
              </w:rPr>
            </w:pPr>
            <w:r>
              <w:rPr/>
              <w:t>The requested modifications are essential to make the plan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Application>LibreOffice/26.2.5.2$Windows_X86_64 LibreOffice_project/cd7284b4cbbfeb507e630c1aac019f4157393acb</Application>
  <AppVersion>15.0000</AppVersion>
  <Pages>8</Pages>
  <Words>1522</Words>
  <Characters>8379</Characters>
  <CharactersWithSpaces>9684</CharactersWithSpaces>
  <Paragraphs>193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2026-08-28T16:01:09Z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