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Combined Transport &amp; Employment Unsoundness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104–110)</w:t>
            </w:r>
            <w:r>
              <w:rPr/>
              <w:t xml:space="preserve"> Ref: </w:t>
            </w:r>
            <w:r>
              <w:rPr>
                <w:rStyle w:val="Emphasis"/>
                <w:lang w:val="en-GB" w:eastAsia="en-GB" w:bidi="ar-SA"/>
              </w:rPr>
              <w:t>SWLP Reg 19 Publication Version</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provides </w:t>
            </w:r>
            <w:r>
              <w:rPr>
                <w:rStyle w:val="Strong"/>
                <w:lang w:val="en-GB" w:eastAsia="en-GB" w:bidi="ar-SA"/>
              </w:rPr>
              <w:t>no evidence</w:t>
            </w:r>
            <w:r>
              <w:rPr/>
              <w:t xml:space="preserve"> that LMA has a sustainable transport relationship with major employment centres. The allocation is located in the </w:t>
            </w:r>
            <w:r>
              <w:rPr>
                <w:rStyle w:val="Strong"/>
                <w:lang w:val="en-GB" w:eastAsia="en-GB" w:bidi="ar-SA"/>
              </w:rPr>
              <w:t>least accessible part of South Warwickshire</w:t>
            </w:r>
            <w:r>
              <w:rPr/>
              <w:t>, far from all strategic employment hubs and disconnected from the motorway and rail networks.</w:t>
            </w:r>
          </w:p>
          <w:p>
            <w:pPr>
              <w:pStyle w:val="NormalWeb"/>
              <w:bidi w:val="0"/>
              <w:spacing w:before="100" w:after="100"/>
              <w:rPr>
                <w:rFonts w:ascii="Times New Roman" w:hAnsi="Times New Roman"/>
              </w:rPr>
            </w:pPr>
            <w:r>
              <w:rPr/>
              <w:t>The plan fails to demonstrate:</w:t>
            </w:r>
          </w:p>
          <w:p>
            <w:pPr>
              <w:pStyle w:val="NormalWeb"/>
              <w:numPr>
                <w:ilvl w:val="0"/>
                <w:numId w:val="13"/>
              </w:numPr>
              <w:tabs>
                <w:tab w:val="left" w:pos="720" w:leader="none"/>
              </w:tabs>
              <w:bidi w:val="0"/>
              <w:spacing w:before="100" w:after="100"/>
              <w:rPr/>
            </w:pPr>
            <w:r>
              <w:rPr/>
              <w:t>how residents will reach jobs,</w:t>
            </w:r>
          </w:p>
          <w:p>
            <w:pPr>
              <w:pStyle w:val="NormalWeb"/>
              <w:numPr>
                <w:ilvl w:val="0"/>
                <w:numId w:val="13"/>
              </w:numPr>
              <w:tabs>
                <w:tab w:val="left" w:pos="720" w:leader="none"/>
              </w:tabs>
              <w:bidi w:val="0"/>
              <w:spacing w:before="100" w:after="100"/>
              <w:rPr/>
            </w:pPr>
            <w:r>
              <w:rPr/>
              <w:t>how transport infrastructure will support commuting,</w:t>
            </w:r>
          </w:p>
          <w:p>
            <w:pPr>
              <w:pStyle w:val="NormalWeb"/>
              <w:numPr>
                <w:ilvl w:val="0"/>
                <w:numId w:val="13"/>
              </w:numPr>
              <w:tabs>
                <w:tab w:val="left" w:pos="720" w:leader="none"/>
              </w:tabs>
              <w:bidi w:val="0"/>
              <w:spacing w:before="100" w:after="100"/>
              <w:rPr/>
            </w:pPr>
            <w:r>
              <w:rPr/>
              <w:t>how long</w:t>
              <w:noBreakHyphen/>
              <w:t>distance travel will be accommodated,</w:t>
            </w:r>
          </w:p>
          <w:p>
            <w:pPr>
              <w:pStyle w:val="NormalWeb"/>
              <w:numPr>
                <w:ilvl w:val="0"/>
                <w:numId w:val="13"/>
              </w:numPr>
              <w:tabs>
                <w:tab w:val="left" w:pos="720" w:leader="none"/>
              </w:tabs>
              <w:bidi w:val="0"/>
              <w:spacing w:before="100" w:after="100"/>
              <w:rPr>
                <w:rFonts w:ascii="Times New Roman" w:hAnsi="Times New Roman"/>
              </w:rPr>
            </w:pPr>
            <w:r>
              <w:rPr/>
              <w:t>how LMA aligns with the economic geography described in the SWLP evidence.</w:t>
            </w:r>
          </w:p>
          <w:p>
            <w:pPr>
              <w:pStyle w:val="NormalWeb"/>
              <w:bidi w:val="0"/>
              <w:spacing w:before="100" w:after="100"/>
              <w:rPr>
                <w:rFonts w:ascii="Times New Roman" w:hAnsi="Times New Roman"/>
              </w:rPr>
            </w:pPr>
            <w:r>
              <w:rPr/>
              <w:t xml:space="preserve">This renders the allocation </w:t>
            </w:r>
            <w:r>
              <w:rPr>
                <w:rStyle w:val="Strong"/>
                <w:lang w:val="en-GB" w:eastAsia="en-GB" w:bidi="ar-SA"/>
              </w:rPr>
              <w:t>unsound</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Map</w:t>
              <w:noBreakHyphen/>
              <w:t>Based Spatial Logic: Where LMA Sits vs Where the Jobs Are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LMA’s location</w:t>
            </w:r>
          </w:p>
          <w:p>
            <w:pPr>
              <w:pStyle w:val="NormalWeb"/>
              <w:bidi w:val="0"/>
              <w:spacing w:before="100" w:after="100"/>
              <w:rPr>
                <w:rFonts w:ascii="Times New Roman" w:hAnsi="Times New Roman"/>
              </w:rPr>
            </w:pPr>
            <w:r>
              <w:rPr/>
              <w:t xml:space="preserve">LMA sits in the </w:t>
            </w:r>
            <w:r>
              <w:rPr>
                <w:rStyle w:val="Strong"/>
                <w:lang w:val="en-GB" w:eastAsia="en-GB" w:bidi="ar-SA"/>
              </w:rPr>
              <w:t>south</w:t>
              <w:noBreakHyphen/>
              <w:t>west corner</w:t>
            </w:r>
            <w:r>
              <w:rPr/>
              <w:t xml:space="preserve"> of Stratford District, on the </w:t>
            </w:r>
            <w:r>
              <w:rPr>
                <w:rStyle w:val="Strong"/>
                <w:lang w:val="en-GB" w:eastAsia="en-GB" w:bidi="ar-SA"/>
              </w:rPr>
              <w:t>B4632</w:t>
            </w:r>
            <w:r>
              <w:rPr/>
              <w:t xml:space="preserve">, near the Gloucestershire border. It is </w:t>
            </w:r>
            <w:r>
              <w:rPr>
                <w:rStyle w:val="Strong"/>
                <w:lang w:val="en-GB" w:eastAsia="en-GB" w:bidi="ar-SA"/>
              </w:rPr>
              <w:t>not</w:t>
            </w:r>
            <w:r>
              <w:rPr/>
              <w:t xml:space="preserve"> on:</w:t>
            </w:r>
          </w:p>
          <w:p>
            <w:pPr>
              <w:pStyle w:val="NormalWeb"/>
              <w:numPr>
                <w:ilvl w:val="0"/>
                <w:numId w:val="14"/>
              </w:numPr>
              <w:tabs>
                <w:tab w:val="left" w:pos="720" w:leader="none"/>
              </w:tabs>
              <w:bidi w:val="0"/>
              <w:spacing w:before="100" w:after="100"/>
              <w:rPr/>
            </w:pPr>
            <w:r>
              <w:rPr/>
              <w:t>a motorway corridor,</w:t>
            </w:r>
          </w:p>
          <w:p>
            <w:pPr>
              <w:pStyle w:val="NormalWeb"/>
              <w:numPr>
                <w:ilvl w:val="0"/>
                <w:numId w:val="14"/>
              </w:numPr>
              <w:tabs>
                <w:tab w:val="left" w:pos="720" w:leader="none"/>
              </w:tabs>
              <w:bidi w:val="0"/>
              <w:spacing w:before="100" w:after="100"/>
              <w:rPr/>
            </w:pPr>
            <w:r>
              <w:rPr/>
              <w:t>a dual carriageway,</w:t>
            </w:r>
          </w:p>
          <w:p>
            <w:pPr>
              <w:pStyle w:val="NormalWeb"/>
              <w:numPr>
                <w:ilvl w:val="0"/>
                <w:numId w:val="14"/>
              </w:numPr>
              <w:tabs>
                <w:tab w:val="left" w:pos="720" w:leader="none"/>
              </w:tabs>
              <w:bidi w:val="0"/>
              <w:spacing w:before="100" w:after="100"/>
              <w:rPr/>
            </w:pPr>
            <w:r>
              <w:rPr/>
              <w:t>a strategic A</w:t>
              <w:noBreakHyphen/>
              <w:t>road,</w:t>
            </w:r>
          </w:p>
          <w:p>
            <w:pPr>
              <w:pStyle w:val="NormalWeb"/>
              <w:numPr>
                <w:ilvl w:val="0"/>
                <w:numId w:val="14"/>
              </w:numPr>
              <w:tabs>
                <w:tab w:val="left" w:pos="720" w:leader="none"/>
              </w:tabs>
              <w:bidi w:val="0"/>
              <w:spacing w:before="100" w:after="100"/>
              <w:rPr/>
            </w:pPr>
            <w:r>
              <w:rPr/>
              <w:t>a rail line,</w:t>
            </w:r>
          </w:p>
          <w:p>
            <w:pPr>
              <w:pStyle w:val="NormalWeb"/>
              <w:numPr>
                <w:ilvl w:val="0"/>
                <w:numId w:val="14"/>
              </w:numPr>
              <w:tabs>
                <w:tab w:val="left" w:pos="720" w:leader="none"/>
              </w:tabs>
              <w:bidi w:val="0"/>
              <w:spacing w:before="100" w:after="100"/>
              <w:rPr>
                <w:rFonts w:ascii="Times New Roman" w:hAnsi="Times New Roman"/>
              </w:rPr>
            </w:pPr>
            <w:r>
              <w:rPr/>
              <w:t>a mass</w:t>
              <w:noBreakHyphen/>
              <w:t>transit corridor.</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Major employment centres</w:t>
            </w:r>
          </w:p>
          <w:p>
            <w:pPr>
              <w:pStyle w:val="NormalWeb"/>
              <w:bidi w:val="0"/>
              <w:spacing w:before="100" w:after="100"/>
              <w:rPr>
                <w:rFonts w:ascii="Times New Roman" w:hAnsi="Times New Roman"/>
              </w:rPr>
            </w:pPr>
            <w:r>
              <w:rPr/>
              <w:t xml:space="preserve">All major employment centres lie </w:t>
            </w:r>
            <w:r>
              <w:rPr>
                <w:rStyle w:val="Strong"/>
                <w:lang w:val="en-GB" w:eastAsia="en-GB" w:bidi="ar-SA"/>
              </w:rPr>
              <w:t>north or north</w:t>
              <w:noBreakHyphen/>
              <w:t>east</w:t>
            </w:r>
            <w:r>
              <w:rPr/>
              <w:t xml:space="preserve"> of LMA:</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Stratford</w:t>
              <w:noBreakHyphen/>
              <w:t>upon</w:t>
              <w:noBreakHyphen/>
              <w:t>Avon</w:t>
            </w:r>
            <w:r>
              <w:rPr/>
              <w:t xml:space="preserve"> – 6–7 miles</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Warwick / Leamington Spa</w:t>
            </w:r>
            <w:r>
              <w:rPr/>
              <w:t xml:space="preserve"> – 14–18 miles</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Coventry</w:t>
            </w:r>
            <w:r>
              <w:rPr/>
              <w:t xml:space="preserve"> – 20–25 miles</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Evesham (cross</w:t>
              <w:noBreakHyphen/>
              <w:t>border)</w:t>
            </w:r>
            <w:r>
              <w:rPr/>
              <w:t xml:space="preserve"> – 5–6 miles</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Birmingham</w:t>
            </w:r>
            <w:r>
              <w:rPr/>
              <w:t xml:space="preserve"> – 25–35 miles</w:t>
            </w:r>
          </w:p>
          <w:p>
            <w:pPr>
              <w:pStyle w:val="NormalWeb"/>
              <w:bidi w:val="0"/>
              <w:spacing w:before="100" w:after="100"/>
              <w:rPr>
                <w:rFonts w:ascii="Times New Roman" w:hAnsi="Times New Roman"/>
              </w:rPr>
            </w:pPr>
            <w:r>
              <w:rPr/>
              <w:t xml:space="preserve">On a map, LMA is effectively </w:t>
            </w:r>
            <w:r>
              <w:rPr>
                <w:rStyle w:val="Strong"/>
                <w:lang w:val="en-GB" w:eastAsia="en-GB" w:bidi="ar-SA"/>
              </w:rPr>
              <w:t>dangling off the end of minor rural roads</w:t>
            </w:r>
            <w:r>
              <w:rPr/>
              <w:t>, with all major employment centres located at least 6 miles North.</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Transport Reality: LMA Has No Strategic Connectivity</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No motorway access</w:t>
            </w:r>
          </w:p>
          <w:p>
            <w:pPr>
              <w:pStyle w:val="NormalWeb"/>
              <w:bidi w:val="0"/>
              <w:spacing w:before="100" w:after="100"/>
              <w:rPr>
                <w:rFonts w:ascii="Times New Roman" w:hAnsi="Times New Roman"/>
              </w:rPr>
            </w:pPr>
            <w:r>
              <w:rPr/>
              <w:t>LMA is:</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17–20 miles from the </w:t>
            </w:r>
            <w:r>
              <w:rPr>
                <w:rStyle w:val="Strong"/>
                <w:lang w:val="en-GB" w:eastAsia="en-GB" w:bidi="ar-SA"/>
              </w:rPr>
              <w:t>M40</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20–25 miles from the </w:t>
            </w:r>
            <w:r>
              <w:rPr>
                <w:rStyle w:val="Strong"/>
                <w:lang w:val="en-GB" w:eastAsia="en-GB" w:bidi="ar-SA"/>
              </w:rPr>
              <w:t>M42</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12–15 miles from the </w:t>
            </w:r>
            <w:r>
              <w:rPr>
                <w:rStyle w:val="Strong"/>
                <w:lang w:val="en-GB" w:eastAsia="en-GB" w:bidi="ar-SA"/>
              </w:rPr>
              <w:t>M5</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25–30 miles from the </w:t>
            </w:r>
            <w:r>
              <w:rPr>
                <w:rStyle w:val="Strong"/>
                <w:lang w:val="en-GB" w:eastAsia="en-GB" w:bidi="ar-SA"/>
              </w:rPr>
              <w:t>M6/M69</w:t>
            </w:r>
            <w:r>
              <w:rPr/>
              <w:t>.</w:t>
            </w:r>
          </w:p>
          <w:p>
            <w:pPr>
              <w:pStyle w:val="NormalWeb"/>
              <w:bidi w:val="0"/>
              <w:spacing w:before="100" w:after="100"/>
              <w:rPr>
                <w:rFonts w:ascii="Times New Roman" w:hAnsi="Times New Roman"/>
              </w:rPr>
            </w:pPr>
            <w:r>
              <w:rPr/>
              <w:t xml:space="preserve">There is </w:t>
            </w:r>
            <w:r>
              <w:rPr>
                <w:rStyle w:val="Strong"/>
                <w:lang w:val="en-GB" w:eastAsia="en-GB" w:bidi="ar-SA"/>
              </w:rPr>
              <w:t>no direct feeder road</w:t>
            </w:r>
            <w:r>
              <w:rPr/>
              <w:t xml:space="preserve"> to any motorway.</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No rail station</w:t>
            </w:r>
          </w:p>
          <w:p>
            <w:pPr>
              <w:pStyle w:val="NormalWeb"/>
              <w:bidi w:val="0"/>
              <w:spacing w:before="100" w:after="100"/>
              <w:rPr>
                <w:rFonts w:ascii="Times New Roman" w:hAnsi="Times New Roman"/>
              </w:rPr>
            </w:pPr>
            <w:r>
              <w:rPr/>
              <w:t>LMA has:</w:t>
            </w:r>
          </w:p>
          <w:p>
            <w:pPr>
              <w:pStyle w:val="NormalWeb"/>
              <w:numPr>
                <w:ilvl w:val="0"/>
                <w:numId w:val="5"/>
              </w:numPr>
              <w:tabs>
                <w:tab w:val="left" w:pos="720" w:leader="none"/>
              </w:tabs>
              <w:bidi w:val="0"/>
              <w:spacing w:before="100" w:after="100"/>
              <w:ind w:hanging="360" w:left="720" w:right="0"/>
              <w:rPr>
                <w:rFonts w:ascii="Times New Roman" w:hAnsi="Times New Roman"/>
              </w:rPr>
            </w:pPr>
            <w:r>
              <w:rPr/>
              <w:t>no station,</w:t>
            </w:r>
          </w:p>
          <w:p>
            <w:pPr>
              <w:pStyle w:val="NormalWeb"/>
              <w:numPr>
                <w:ilvl w:val="0"/>
                <w:numId w:val="5"/>
              </w:numPr>
              <w:tabs>
                <w:tab w:val="left" w:pos="720" w:leader="none"/>
              </w:tabs>
              <w:bidi w:val="0"/>
              <w:spacing w:before="100" w:after="100"/>
              <w:ind w:hanging="360" w:left="720" w:right="0"/>
              <w:rPr>
                <w:rFonts w:ascii="Times New Roman" w:hAnsi="Times New Roman"/>
              </w:rPr>
            </w:pPr>
            <w:r>
              <w:rPr/>
              <w:t>no rail corridor,</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no </w:t>
            </w:r>
            <w:r>
              <w:rPr/>
              <w:t xml:space="preserve">direct </w:t>
            </w:r>
            <w:r>
              <w:rPr/>
              <w:t>bus link to Honeybourne or Stratford stations,</w:t>
            </w:r>
          </w:p>
          <w:p>
            <w:pPr>
              <w:pStyle w:val="NormalWeb"/>
              <w:numPr>
                <w:ilvl w:val="0"/>
                <w:numId w:val="5"/>
              </w:numPr>
              <w:tabs>
                <w:tab w:val="left" w:pos="720" w:leader="none"/>
              </w:tabs>
              <w:bidi w:val="0"/>
              <w:spacing w:before="100" w:after="100"/>
              <w:ind w:hanging="360" w:left="720" w:right="0"/>
              <w:rPr>
                <w:rFonts w:ascii="Times New Roman" w:hAnsi="Times New Roman"/>
              </w:rPr>
            </w:pPr>
            <w:r>
              <w:rPr/>
              <w:t>no active travel link to rail.</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Rural roads only</w:t>
            </w:r>
          </w:p>
          <w:p>
            <w:pPr>
              <w:pStyle w:val="NormalWeb"/>
              <w:bidi w:val="0"/>
              <w:spacing w:before="100" w:after="100"/>
              <w:rPr>
                <w:rFonts w:ascii="Times New Roman" w:hAnsi="Times New Roman"/>
              </w:rPr>
            </w:pPr>
            <w:r>
              <w:rPr/>
              <w:t>All commuting relies on:</w:t>
            </w:r>
          </w:p>
          <w:p>
            <w:pPr>
              <w:pStyle w:val="NormalWeb"/>
              <w:numPr>
                <w:ilvl w:val="0"/>
                <w:numId w:val="6"/>
              </w:numPr>
              <w:tabs>
                <w:tab w:val="left" w:pos="720" w:leader="none"/>
              </w:tabs>
              <w:bidi w:val="0"/>
              <w:spacing w:before="100" w:after="100"/>
              <w:ind w:hanging="360" w:left="720" w:right="0"/>
              <w:rPr>
                <w:rFonts w:ascii="Times New Roman" w:hAnsi="Times New Roman"/>
              </w:rPr>
            </w:pPr>
            <w:r>
              <w:rPr>
                <w:rStyle w:val="Strong"/>
                <w:lang w:val="en-GB" w:eastAsia="en-GB" w:bidi="ar-SA"/>
              </w:rPr>
              <w:t>B4632 Campden Road</w:t>
            </w:r>
            <w:r>
              <w:rPr/>
              <w:t>,</w:t>
            </w:r>
          </w:p>
          <w:p>
            <w:pPr>
              <w:pStyle w:val="NormalWeb"/>
              <w:numPr>
                <w:ilvl w:val="0"/>
                <w:numId w:val="6"/>
              </w:numPr>
              <w:tabs>
                <w:tab w:val="left" w:pos="720" w:leader="none"/>
              </w:tabs>
              <w:bidi w:val="0"/>
              <w:spacing w:before="100" w:after="100"/>
              <w:ind w:hanging="360" w:left="720" w:right="0"/>
              <w:rPr>
                <w:rFonts w:ascii="Times New Roman" w:hAnsi="Times New Roman"/>
              </w:rPr>
            </w:pPr>
            <w:r>
              <w:rPr>
                <w:rStyle w:val="Strong"/>
                <w:lang w:val="en-GB" w:eastAsia="en-GB" w:bidi="ar-SA"/>
              </w:rPr>
              <w:t>Long Marston Road</w:t>
            </w:r>
            <w:r>
              <w:rPr/>
              <w:t>,</w:t>
            </w:r>
          </w:p>
          <w:p>
            <w:pPr>
              <w:pStyle w:val="NormalWeb"/>
              <w:numPr>
                <w:ilvl w:val="0"/>
                <w:numId w:val="6"/>
              </w:numPr>
              <w:tabs>
                <w:tab w:val="left" w:pos="720" w:leader="none"/>
              </w:tabs>
              <w:bidi w:val="0"/>
              <w:spacing w:before="100" w:after="100"/>
              <w:ind w:hanging="360" w:left="720" w:right="0"/>
              <w:rPr>
                <w:rFonts w:ascii="Times New Roman" w:hAnsi="Times New Roman"/>
              </w:rPr>
            </w:pPr>
            <w:r>
              <w:rPr>
                <w:rStyle w:val="Strong"/>
                <w:lang w:val="en-GB" w:eastAsia="en-GB" w:bidi="ar-SA"/>
              </w:rPr>
              <w:t>Station Road</w:t>
            </w:r>
            <w:r>
              <w:rPr/>
              <w:t>,</w:t>
            </w:r>
          </w:p>
          <w:p>
            <w:pPr>
              <w:pStyle w:val="NormalWeb"/>
              <w:numPr>
                <w:ilvl w:val="0"/>
                <w:numId w:val="6"/>
              </w:numPr>
              <w:tabs>
                <w:tab w:val="left" w:pos="720" w:leader="none"/>
              </w:tabs>
              <w:bidi w:val="0"/>
              <w:spacing w:before="100" w:after="100"/>
              <w:ind w:hanging="360" w:left="720" w:right="0"/>
              <w:rPr>
                <w:rFonts w:ascii="Times New Roman" w:hAnsi="Times New Roman"/>
              </w:rPr>
            </w:pPr>
            <w:r>
              <w:rPr/>
              <w:t>narrow lanes toward Welford and Clifford Chambers.</w:t>
            </w:r>
          </w:p>
          <w:p>
            <w:pPr>
              <w:pStyle w:val="NormalWeb"/>
              <w:bidi w:val="0"/>
              <w:spacing w:before="100" w:after="100"/>
              <w:rPr>
                <w:rFonts w:ascii="Times New Roman" w:hAnsi="Times New Roman"/>
              </w:rPr>
            </w:pPr>
            <w:r>
              <w:rPr/>
              <w:t>These roads:</w:t>
            </w:r>
          </w:p>
          <w:p>
            <w:pPr>
              <w:pStyle w:val="NormalWeb"/>
              <w:numPr>
                <w:ilvl w:val="0"/>
                <w:numId w:val="7"/>
              </w:numPr>
              <w:tabs>
                <w:tab w:val="left" w:pos="720" w:leader="none"/>
              </w:tabs>
              <w:bidi w:val="0"/>
              <w:spacing w:before="100" w:after="100"/>
              <w:ind w:hanging="360" w:left="720" w:right="0"/>
              <w:rPr>
                <w:rFonts w:ascii="Times New Roman" w:hAnsi="Times New Roman"/>
              </w:rPr>
            </w:pPr>
            <w:r>
              <w:rPr/>
              <w:t>are not designed for strategic commuting,</w:t>
            </w:r>
          </w:p>
          <w:p>
            <w:pPr>
              <w:pStyle w:val="NormalWeb"/>
              <w:numPr>
                <w:ilvl w:val="0"/>
                <w:numId w:val="7"/>
              </w:numPr>
              <w:tabs>
                <w:tab w:val="left" w:pos="720" w:leader="none"/>
              </w:tabs>
              <w:bidi w:val="0"/>
              <w:spacing w:before="100" w:after="100"/>
              <w:ind w:hanging="360" w:left="720" w:right="0"/>
              <w:rPr>
                <w:rFonts w:ascii="Times New Roman" w:hAnsi="Times New Roman"/>
              </w:rPr>
            </w:pPr>
            <w:r>
              <w:rPr/>
              <w:t>are already congested,</w:t>
            </w:r>
          </w:p>
          <w:p>
            <w:pPr>
              <w:pStyle w:val="NormalWeb"/>
              <w:numPr>
                <w:ilvl w:val="0"/>
                <w:numId w:val="7"/>
              </w:numPr>
              <w:tabs>
                <w:tab w:val="left" w:pos="720" w:leader="none"/>
              </w:tabs>
              <w:bidi w:val="0"/>
              <w:spacing w:before="100" w:after="100"/>
              <w:ind w:hanging="360" w:left="720" w:right="0"/>
              <w:rPr>
                <w:rFonts w:ascii="Times New Roman" w:hAnsi="Times New Roman"/>
              </w:rPr>
            </w:pPr>
            <w:r>
              <w:rPr/>
              <w:t>cannot support long</w:t>
              <w:noBreakHyphen/>
              <w:t>distance flows.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D. No mass transit</w:t>
            </w:r>
          </w:p>
          <w:p>
            <w:pPr>
              <w:pStyle w:val="NormalWeb"/>
              <w:bidi w:val="0"/>
              <w:spacing w:before="100" w:after="100"/>
              <w:rPr>
                <w:rFonts w:ascii="Times New Roman" w:hAnsi="Times New Roman"/>
              </w:rPr>
            </w:pPr>
            <w:r>
              <w:rPr/>
              <w:t>There is:</w:t>
            </w:r>
          </w:p>
          <w:p>
            <w:pPr>
              <w:pStyle w:val="NormalWeb"/>
              <w:numPr>
                <w:ilvl w:val="0"/>
                <w:numId w:val="8"/>
              </w:numPr>
              <w:tabs>
                <w:tab w:val="left" w:pos="720" w:leader="none"/>
              </w:tabs>
              <w:bidi w:val="0"/>
              <w:spacing w:before="100" w:after="100"/>
              <w:ind w:hanging="360" w:left="720" w:right="0"/>
              <w:rPr>
                <w:rFonts w:ascii="Times New Roman" w:hAnsi="Times New Roman"/>
              </w:rPr>
            </w:pPr>
            <w:r>
              <w:rPr/>
              <w:t>no rapid bus corridor,</w:t>
            </w:r>
          </w:p>
          <w:p>
            <w:pPr>
              <w:pStyle w:val="NormalWeb"/>
              <w:numPr>
                <w:ilvl w:val="0"/>
                <w:numId w:val="8"/>
              </w:numPr>
              <w:tabs>
                <w:tab w:val="left" w:pos="720" w:leader="none"/>
              </w:tabs>
              <w:bidi w:val="0"/>
              <w:spacing w:before="100" w:after="100"/>
              <w:ind w:hanging="360" w:left="720" w:right="0"/>
              <w:rPr>
                <w:rFonts w:ascii="Times New Roman" w:hAnsi="Times New Roman"/>
              </w:rPr>
            </w:pPr>
            <w:r>
              <w:rPr/>
              <w:t>no high</w:t>
              <w:noBreakHyphen/>
              <w:t>frequency service,</w:t>
            </w:r>
          </w:p>
          <w:p>
            <w:pPr>
              <w:pStyle w:val="NormalWeb"/>
              <w:numPr>
                <w:ilvl w:val="0"/>
                <w:numId w:val="8"/>
              </w:numPr>
              <w:tabs>
                <w:tab w:val="left" w:pos="720" w:leader="none"/>
              </w:tabs>
              <w:bidi w:val="0"/>
              <w:spacing w:before="100" w:after="100"/>
              <w:ind w:hanging="360" w:left="720" w:right="0"/>
              <w:rPr>
                <w:rFonts w:ascii="Times New Roman" w:hAnsi="Times New Roman"/>
              </w:rPr>
            </w:pPr>
            <w:r>
              <w:rPr/>
              <w:t>no strategic transport intervention tied to LMA.</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Employment Reality: LMA Is Remote from All Job Centres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Stratford-upon-Avon</w:t>
            </w:r>
          </w:p>
          <w:p>
            <w:pPr>
              <w:pStyle w:val="NormalWeb"/>
              <w:bidi w:val="0"/>
              <w:spacing w:before="100" w:after="100"/>
              <w:rPr>
                <w:rFonts w:ascii="Times New Roman" w:hAnsi="Times New Roman"/>
              </w:rPr>
            </w:pPr>
            <w:r>
              <w:rPr/>
              <w:t>6–7 miles via rural roads with no direct bus or rail.</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Warwick / Leamington Spa</w:t>
            </w:r>
          </w:p>
          <w:p>
            <w:pPr>
              <w:pStyle w:val="NormalWeb"/>
              <w:bidi w:val="0"/>
              <w:spacing w:before="100" w:after="100"/>
              <w:rPr>
                <w:rFonts w:ascii="Times New Roman" w:hAnsi="Times New Roman"/>
              </w:rPr>
            </w:pPr>
            <w:r>
              <w:rPr/>
              <w:t>14–18 miles via rural roads → A46 → congested junctions.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Coventry</w:t>
            </w:r>
          </w:p>
          <w:p>
            <w:pPr>
              <w:pStyle w:val="NormalWeb"/>
              <w:bidi w:val="0"/>
              <w:spacing w:before="100" w:after="100"/>
              <w:rPr>
                <w:rFonts w:ascii="Times New Roman" w:hAnsi="Times New Roman"/>
              </w:rPr>
            </w:pPr>
            <w:r>
              <w:rPr/>
              <w:t>20–25 miles with no direct corridor.</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D. Evesham</w:t>
            </w:r>
          </w:p>
          <w:p>
            <w:pPr>
              <w:pStyle w:val="NormalWeb"/>
              <w:bidi w:val="0"/>
              <w:spacing w:before="100" w:after="100"/>
              <w:rPr>
                <w:rFonts w:ascii="Times New Roman" w:hAnsi="Times New Roman"/>
              </w:rPr>
            </w:pPr>
            <w:r>
              <w:rPr/>
              <w:t>5–6 miles cross</w:t>
              <w:noBreakHyphen/>
              <w:t xml:space="preserve">border with </w:t>
            </w:r>
            <w:r>
              <w:rPr>
                <w:rStyle w:val="Strong"/>
                <w:lang w:val="en-GB" w:eastAsia="en-GB" w:bidi="ar-SA"/>
              </w:rPr>
              <w:t>no joint planning</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E. Birmingham</w:t>
            </w:r>
          </w:p>
          <w:p>
            <w:pPr>
              <w:pStyle w:val="NormalWeb"/>
              <w:bidi w:val="0"/>
              <w:spacing w:before="100" w:after="100"/>
              <w:rPr>
                <w:rFonts w:ascii="Times New Roman" w:hAnsi="Times New Roman"/>
              </w:rPr>
            </w:pPr>
            <w:r>
              <w:rPr/>
              <w:t xml:space="preserve">25–35 miles; SWLP states </w:t>
            </w:r>
            <w:r>
              <w:rPr/>
              <w:t xml:space="preserve">with no documented evidence that </w:t>
            </w:r>
            <w:r>
              <w:rPr/>
              <w:t>functional links are weak.</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Conclusion</w:t>
            </w:r>
          </w:p>
          <w:p>
            <w:pPr>
              <w:pStyle w:val="NormalWeb"/>
              <w:bidi w:val="0"/>
              <w:spacing w:before="100" w:after="100"/>
              <w:rPr>
                <w:rFonts w:ascii="Times New Roman" w:hAnsi="Times New Roman"/>
              </w:rPr>
            </w:pPr>
            <w:r>
              <w:rPr/>
              <w:t xml:space="preserve">LMA is </w:t>
            </w:r>
            <w:r>
              <w:rPr>
                <w:rStyle w:val="Strong"/>
                <w:lang w:val="en-GB" w:eastAsia="en-GB" w:bidi="ar-SA"/>
              </w:rPr>
              <w:t>not aligned</w:t>
            </w:r>
            <w:r>
              <w:rPr/>
              <w:t xml:space="preserve"> with the SWLP’s employment geography, which emphasises the </w:t>
            </w:r>
            <w:r>
              <w:rPr>
                <w:rStyle w:val="Strong"/>
                <w:lang w:val="en-GB" w:eastAsia="en-GB" w:bidi="ar-SA"/>
              </w:rPr>
              <w:t>Coventry–Warwick–Leamington corridor</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Combined Transport–Employment Unsoundness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LMA creates long</w:t>
              <w:noBreakHyphen/>
              <w:t>distance, car</w:t>
              <w:noBreakHyphen/>
              <w:t>dependent commuting</w:t>
            </w:r>
          </w:p>
          <w:p>
            <w:pPr>
              <w:pStyle w:val="NormalWeb"/>
              <w:bidi w:val="0"/>
              <w:spacing w:before="100" w:after="100"/>
              <w:rPr>
                <w:rFonts w:ascii="Times New Roman" w:hAnsi="Times New Roman"/>
              </w:rPr>
            </w:pPr>
            <w:r>
              <w:rPr/>
              <w:t>Residents will be forced into:</w:t>
            </w:r>
          </w:p>
          <w:p>
            <w:pPr>
              <w:pStyle w:val="NormalWeb"/>
              <w:numPr>
                <w:ilvl w:val="0"/>
                <w:numId w:val="9"/>
              </w:numPr>
              <w:tabs>
                <w:tab w:val="left" w:pos="720" w:leader="none"/>
              </w:tabs>
              <w:bidi w:val="0"/>
              <w:spacing w:before="100" w:after="100"/>
              <w:ind w:hanging="360" w:left="720" w:right="0"/>
              <w:rPr>
                <w:rFonts w:ascii="Times New Roman" w:hAnsi="Times New Roman"/>
              </w:rPr>
            </w:pPr>
            <w:r>
              <w:rPr/>
              <w:t>6–25 mile car commutes,</w:t>
            </w:r>
          </w:p>
          <w:p>
            <w:pPr>
              <w:pStyle w:val="NormalWeb"/>
              <w:numPr>
                <w:ilvl w:val="0"/>
                <w:numId w:val="9"/>
              </w:numPr>
              <w:tabs>
                <w:tab w:val="left" w:pos="720" w:leader="none"/>
              </w:tabs>
              <w:bidi w:val="0"/>
              <w:spacing w:before="100" w:after="100"/>
              <w:ind w:hanging="360" w:left="720" w:right="0"/>
              <w:rPr>
                <w:rFonts w:ascii="Times New Roman" w:hAnsi="Times New Roman"/>
              </w:rPr>
            </w:pPr>
            <w:r>
              <w:rPr/>
              <w:t>on rural roads,</w:t>
            </w:r>
          </w:p>
          <w:p>
            <w:pPr>
              <w:pStyle w:val="NormalWeb"/>
              <w:numPr>
                <w:ilvl w:val="0"/>
                <w:numId w:val="9"/>
              </w:numPr>
              <w:tabs>
                <w:tab w:val="left" w:pos="720" w:leader="none"/>
              </w:tabs>
              <w:bidi w:val="0"/>
              <w:spacing w:before="100" w:after="100"/>
              <w:ind w:hanging="360" w:left="720" w:right="0"/>
              <w:rPr>
                <w:rFonts w:ascii="Times New Roman" w:hAnsi="Times New Roman"/>
              </w:rPr>
            </w:pPr>
            <w:r>
              <w:rPr/>
              <w:t>with no rail alternative,</w:t>
            </w:r>
          </w:p>
          <w:p>
            <w:pPr>
              <w:pStyle w:val="NormalWeb"/>
              <w:numPr>
                <w:ilvl w:val="0"/>
                <w:numId w:val="9"/>
              </w:numPr>
              <w:tabs>
                <w:tab w:val="left" w:pos="720" w:leader="none"/>
              </w:tabs>
              <w:bidi w:val="0"/>
              <w:spacing w:before="100" w:after="100"/>
              <w:ind w:hanging="360" w:left="720" w:right="0"/>
              <w:rPr>
                <w:rFonts w:ascii="Times New Roman" w:hAnsi="Times New Roman"/>
              </w:rPr>
            </w:pPr>
            <w:r>
              <w:rPr/>
              <w:t>no mass transit,</w:t>
            </w:r>
          </w:p>
          <w:p>
            <w:pPr>
              <w:pStyle w:val="NormalWeb"/>
              <w:numPr>
                <w:ilvl w:val="0"/>
                <w:numId w:val="9"/>
              </w:numPr>
              <w:tabs>
                <w:tab w:val="left" w:pos="720" w:leader="none"/>
              </w:tabs>
              <w:bidi w:val="0"/>
              <w:spacing w:before="100" w:after="100"/>
              <w:ind w:hanging="360" w:left="720" w:right="0"/>
              <w:rPr>
                <w:rFonts w:ascii="Times New Roman" w:hAnsi="Times New Roman"/>
              </w:rPr>
            </w:pPr>
            <w:r>
              <w:rPr/>
              <w:t>no suitable/appropriate active travel network.</w:t>
            </w:r>
          </w:p>
          <w:p>
            <w:pPr>
              <w:pStyle w:val="NormalWeb"/>
              <w:bidi w:val="0"/>
              <w:spacing w:before="100" w:after="100"/>
              <w:rPr>
                <w:rFonts w:ascii="Times New Roman" w:hAnsi="Times New Roman"/>
              </w:rPr>
            </w:pPr>
            <w:r>
              <w:rPr/>
              <w:t xml:space="preserve">This contradicts </w:t>
            </w:r>
            <w:r>
              <w:rPr>
                <w:rStyle w:val="Strong"/>
                <w:lang w:val="en-GB" w:eastAsia="en-GB" w:bidi="ar-SA"/>
              </w:rPr>
              <w:t>NPPF §§104–110</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LMA does not support the SWLP’s employment strategy</w:t>
            </w:r>
          </w:p>
          <w:p>
            <w:pPr>
              <w:pStyle w:val="NormalWeb"/>
              <w:bidi w:val="0"/>
              <w:spacing w:before="100" w:after="100"/>
              <w:rPr>
                <w:rFonts w:ascii="Times New Roman" w:hAnsi="Times New Roman"/>
              </w:rPr>
            </w:pPr>
            <w:r>
              <w:rPr/>
              <w:t>Strategic Objective 3 requires:</w:t>
            </w:r>
          </w:p>
          <w:p>
            <w:pPr>
              <w:pStyle w:val="NormalWeb"/>
              <w:bidi w:val="0"/>
              <w:spacing w:before="100" w:after="100"/>
              <w:rPr>
                <w:rFonts w:ascii="Times New Roman" w:hAnsi="Times New Roman"/>
              </w:rPr>
            </w:pPr>
            <w:r>
              <w:rPr>
                <w:rStyle w:val="Emphasis"/>
                <w:lang w:val="en-GB" w:eastAsia="en-GB" w:bidi="ar-SA"/>
              </w:rPr>
              <w:t>“</w:t>
            </w:r>
            <w:r>
              <w:rPr>
                <w:rStyle w:val="Emphasis"/>
                <w:lang w:val="en-GB" w:eastAsia="en-GB" w:bidi="ar-SA"/>
              </w:rPr>
              <w:t>Accommodating the growth in employment opportunities that build upon our strong and diverse economy.”</w:t>
            </w:r>
          </w:p>
          <w:p>
            <w:pPr>
              <w:pStyle w:val="NormalWeb"/>
              <w:bidi w:val="0"/>
              <w:spacing w:before="100" w:after="100"/>
              <w:rPr>
                <w:rFonts w:ascii="Times New Roman" w:hAnsi="Times New Roman"/>
              </w:rPr>
            </w:pPr>
            <w:r>
              <w:rPr/>
              <w:t>But LMA:</w:t>
            </w:r>
          </w:p>
          <w:p>
            <w:pPr>
              <w:pStyle w:val="NormalWeb"/>
              <w:numPr>
                <w:ilvl w:val="0"/>
                <w:numId w:val="10"/>
              </w:numPr>
              <w:tabs>
                <w:tab w:val="left" w:pos="720" w:leader="none"/>
              </w:tabs>
              <w:bidi w:val="0"/>
              <w:spacing w:before="100" w:after="100"/>
              <w:ind w:hanging="360" w:left="720" w:right="0"/>
              <w:rPr>
                <w:rFonts w:ascii="Times New Roman" w:hAnsi="Times New Roman"/>
              </w:rPr>
            </w:pPr>
            <w:r>
              <w:rPr/>
              <w:t>is remote from employment growth areas,</w:t>
            </w:r>
          </w:p>
          <w:p>
            <w:pPr>
              <w:pStyle w:val="NormalWeb"/>
              <w:numPr>
                <w:ilvl w:val="0"/>
                <w:numId w:val="10"/>
              </w:numPr>
              <w:tabs>
                <w:tab w:val="left" w:pos="720" w:leader="none"/>
              </w:tabs>
              <w:bidi w:val="0"/>
              <w:spacing w:before="100" w:after="100"/>
              <w:ind w:hanging="360" w:left="720" w:right="0"/>
              <w:rPr>
                <w:rFonts w:ascii="Times New Roman" w:hAnsi="Times New Roman"/>
              </w:rPr>
            </w:pPr>
            <w:r>
              <w:rPr/>
              <w:t>is not connected to innovation clusters,</w:t>
            </w:r>
          </w:p>
          <w:p>
            <w:pPr>
              <w:pStyle w:val="NormalWeb"/>
              <w:numPr>
                <w:ilvl w:val="0"/>
                <w:numId w:val="10"/>
              </w:numPr>
              <w:tabs>
                <w:tab w:val="left" w:pos="720" w:leader="none"/>
              </w:tabs>
              <w:bidi w:val="0"/>
              <w:spacing w:before="100" w:after="100"/>
              <w:ind w:hanging="360" w:left="720" w:right="0"/>
              <w:rPr>
                <w:rFonts w:ascii="Times New Roman" w:hAnsi="Times New Roman"/>
              </w:rPr>
            </w:pPr>
            <w:r>
              <w:rPr/>
              <w:t>is not linked to major employers,</w:t>
            </w:r>
          </w:p>
          <w:p>
            <w:pPr>
              <w:pStyle w:val="NormalWeb"/>
              <w:numPr>
                <w:ilvl w:val="0"/>
                <w:numId w:val="10"/>
              </w:numPr>
              <w:tabs>
                <w:tab w:val="left" w:pos="720" w:leader="none"/>
              </w:tabs>
              <w:bidi w:val="0"/>
              <w:spacing w:before="100" w:after="100"/>
              <w:ind w:hanging="360" w:left="720" w:right="0"/>
              <w:rPr>
                <w:rFonts w:ascii="Times New Roman" w:hAnsi="Times New Roman"/>
              </w:rPr>
            </w:pPr>
            <w:r>
              <w:rPr/>
              <w:t>is not on a strategic transport corridor.</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LMA contradicts the SWLP’s spatial logic</w:t>
            </w:r>
          </w:p>
          <w:p>
            <w:pPr>
              <w:pStyle w:val="NormalWeb"/>
              <w:bidi w:val="0"/>
              <w:spacing w:before="100" w:after="100"/>
              <w:rPr>
                <w:rFonts w:ascii="Times New Roman" w:hAnsi="Times New Roman"/>
              </w:rPr>
            </w:pPr>
            <w:r>
              <w:rPr/>
              <w:t>The plan emphasises:</w:t>
            </w:r>
          </w:p>
          <w:p>
            <w:pPr>
              <w:pStyle w:val="NormalWeb"/>
              <w:numPr>
                <w:ilvl w:val="0"/>
                <w:numId w:val="11"/>
              </w:numPr>
              <w:tabs>
                <w:tab w:val="left" w:pos="720" w:leader="none"/>
              </w:tabs>
              <w:bidi w:val="0"/>
              <w:spacing w:before="100" w:after="100"/>
              <w:ind w:hanging="360" w:left="720" w:right="0"/>
              <w:rPr>
                <w:rFonts w:ascii="Times New Roman" w:hAnsi="Times New Roman"/>
              </w:rPr>
            </w:pPr>
            <w:r>
              <w:rPr/>
              <w:t>north</w:t>
              <w:noBreakHyphen/>
              <w:t>east employment growth,</w:t>
            </w:r>
          </w:p>
          <w:p>
            <w:pPr>
              <w:pStyle w:val="NormalWeb"/>
              <w:numPr>
                <w:ilvl w:val="0"/>
                <w:numId w:val="11"/>
              </w:numPr>
              <w:tabs>
                <w:tab w:val="left" w:pos="720" w:leader="none"/>
              </w:tabs>
              <w:bidi w:val="0"/>
              <w:spacing w:before="100" w:after="100"/>
              <w:ind w:hanging="360" w:left="720" w:right="0"/>
              <w:rPr>
                <w:rFonts w:ascii="Times New Roman" w:hAnsi="Times New Roman"/>
              </w:rPr>
            </w:pPr>
            <w:r>
              <w:rPr/>
              <w:t>Coventry–Warwick–Leamington axis,</w:t>
            </w:r>
          </w:p>
          <w:p>
            <w:pPr>
              <w:pStyle w:val="NormalWeb"/>
              <w:numPr>
                <w:ilvl w:val="0"/>
                <w:numId w:val="11"/>
              </w:numPr>
              <w:tabs>
                <w:tab w:val="left" w:pos="720" w:leader="none"/>
              </w:tabs>
              <w:bidi w:val="0"/>
              <w:spacing w:before="100" w:after="100"/>
              <w:ind w:hanging="360" w:left="720" w:right="0"/>
              <w:rPr>
                <w:rFonts w:ascii="Times New Roman" w:hAnsi="Times New Roman"/>
              </w:rPr>
            </w:pPr>
            <w:r>
              <w:rPr/>
              <w:t>Stratford’s constrained transport network.</w:t>
            </w:r>
          </w:p>
          <w:p>
            <w:pPr>
              <w:pStyle w:val="NormalWeb"/>
              <w:bidi w:val="0"/>
              <w:spacing w:before="100" w:after="100"/>
              <w:rPr>
                <w:rFonts w:ascii="Times New Roman" w:hAnsi="Times New Roman"/>
              </w:rPr>
            </w:pPr>
            <w:r>
              <w:rPr/>
              <w:t xml:space="preserve">LMA is located in the </w:t>
            </w:r>
            <w:r>
              <w:rPr>
                <w:rStyle w:val="Strong"/>
                <w:lang w:val="en-GB" w:eastAsia="en-GB" w:bidi="ar-SA"/>
              </w:rPr>
              <w:t>opposite direction</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D. No evidence has been published</w:t>
            </w:r>
          </w:p>
          <w:p>
            <w:pPr>
              <w:pStyle w:val="NormalWeb"/>
              <w:bidi w:val="0"/>
              <w:spacing w:before="100" w:after="100"/>
              <w:rPr>
                <w:rFonts w:ascii="Times New Roman" w:hAnsi="Times New Roman"/>
              </w:rPr>
            </w:pPr>
            <w:r>
              <w:rPr/>
              <w:t xml:space="preserve">The SWLP Reg 19 provides </w:t>
            </w:r>
            <w:r>
              <w:rPr>
                <w:rStyle w:val="Strong"/>
                <w:lang w:val="en-GB" w:eastAsia="en-GB" w:bidi="ar-SA"/>
              </w:rPr>
              <w:t>no proportionate evidence</w:t>
            </w:r>
            <w:r>
              <w:rPr/>
              <w:t xml:space="preserve"> on:</w:t>
            </w:r>
          </w:p>
          <w:p>
            <w:pPr>
              <w:pStyle w:val="NormalWeb"/>
              <w:numPr>
                <w:ilvl w:val="0"/>
                <w:numId w:val="12"/>
              </w:numPr>
              <w:tabs>
                <w:tab w:val="left" w:pos="720" w:leader="none"/>
              </w:tabs>
              <w:bidi w:val="0"/>
              <w:spacing w:before="100" w:after="100"/>
              <w:ind w:hanging="360" w:left="720" w:right="0"/>
              <w:rPr>
                <w:rFonts w:ascii="Times New Roman" w:hAnsi="Times New Roman"/>
              </w:rPr>
            </w:pPr>
            <w:r>
              <w:rPr/>
              <w:t>commuting patterns,</w:t>
            </w:r>
          </w:p>
          <w:p>
            <w:pPr>
              <w:pStyle w:val="NormalWeb"/>
              <w:numPr>
                <w:ilvl w:val="0"/>
                <w:numId w:val="12"/>
              </w:numPr>
              <w:tabs>
                <w:tab w:val="left" w:pos="720" w:leader="none"/>
              </w:tabs>
              <w:bidi w:val="0"/>
              <w:spacing w:before="100" w:after="100"/>
              <w:ind w:hanging="360" w:left="720" w:right="0"/>
              <w:rPr>
                <w:rFonts w:ascii="Times New Roman" w:hAnsi="Times New Roman"/>
              </w:rPr>
            </w:pPr>
            <w:r>
              <w:rPr/>
              <w:t>employment accessibility,</w:t>
            </w:r>
          </w:p>
          <w:p>
            <w:pPr>
              <w:pStyle w:val="NormalWeb"/>
              <w:numPr>
                <w:ilvl w:val="0"/>
                <w:numId w:val="12"/>
              </w:numPr>
              <w:tabs>
                <w:tab w:val="left" w:pos="720" w:leader="none"/>
              </w:tabs>
              <w:bidi w:val="0"/>
              <w:spacing w:before="100" w:after="100"/>
              <w:ind w:hanging="360" w:left="720" w:right="0"/>
              <w:rPr>
                <w:rFonts w:ascii="Times New Roman" w:hAnsi="Times New Roman"/>
              </w:rPr>
            </w:pPr>
            <w:r>
              <w:rPr/>
              <w:t>transport capacity,</w:t>
            </w:r>
          </w:p>
          <w:p>
            <w:pPr>
              <w:pStyle w:val="NormalWeb"/>
              <w:numPr>
                <w:ilvl w:val="0"/>
                <w:numId w:val="12"/>
              </w:numPr>
              <w:tabs>
                <w:tab w:val="left" w:pos="720" w:leader="none"/>
              </w:tabs>
              <w:bidi w:val="0"/>
              <w:spacing w:before="100" w:after="100"/>
              <w:ind w:hanging="360" w:left="720" w:right="0"/>
              <w:rPr>
                <w:rFonts w:ascii="Times New Roman" w:hAnsi="Times New Roman"/>
              </w:rPr>
            </w:pPr>
            <w:r>
              <w:rPr/>
              <w:t>long</w:t>
              <w:noBreakHyphen/>
              <w:t>distance travel impacts,</w:t>
            </w:r>
          </w:p>
          <w:p>
            <w:pPr>
              <w:pStyle w:val="NormalWeb"/>
              <w:numPr>
                <w:ilvl w:val="0"/>
                <w:numId w:val="12"/>
              </w:numPr>
              <w:tabs>
                <w:tab w:val="left" w:pos="720" w:leader="none"/>
              </w:tabs>
              <w:bidi w:val="0"/>
              <w:spacing w:before="100" w:after="100"/>
              <w:ind w:hanging="360" w:left="720" w:right="0"/>
              <w:rPr>
                <w:rFonts w:ascii="Times New Roman" w:hAnsi="Times New Roman"/>
              </w:rPr>
            </w:pPr>
            <w:r>
              <w:rPr/>
              <w:t>cumulative congestion.</w:t>
            </w:r>
          </w:p>
          <w:p>
            <w:pPr>
              <w:pStyle w:val="NormalWeb"/>
              <w:bidi w:val="0"/>
              <w:spacing w:before="100" w:after="100"/>
              <w:rPr>
                <w:rFonts w:ascii="Times New Roman" w:hAnsi="Times New Roman"/>
              </w:rPr>
            </w:pPr>
            <w:r>
              <w:rPr/>
              <w:t xml:space="preserve">This is a breach of </w:t>
            </w:r>
            <w:r>
              <w:rPr>
                <w:rStyle w:val="Strong"/>
                <w:lang w:val="en-GB" w:eastAsia="en-GB" w:bidi="ar-SA"/>
              </w:rPr>
              <w:t>NPPF §31</w:t>
            </w:r>
            <w:r>
              <w:rPr/>
              <w:t>.</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transport–employment accessibility study</w:t>
            </w:r>
          </w:p>
          <w:p>
            <w:pPr>
              <w:pStyle w:val="NormalWeb"/>
              <w:bidi w:val="0"/>
              <w:spacing w:before="100" w:after="100"/>
              <w:rPr>
                <w:rFonts w:ascii="Times New Roman" w:hAnsi="Times New Roman"/>
              </w:rPr>
            </w:pPr>
            <w:r>
              <w:rPr/>
              <w:t>Including:</w:t>
            </w:r>
          </w:p>
          <w:p>
            <w:pPr>
              <w:pStyle w:val="NormalWeb"/>
              <w:numPr>
                <w:ilvl w:val="0"/>
                <w:numId w:val="15"/>
              </w:numPr>
              <w:tabs>
                <w:tab w:val="left" w:pos="720" w:leader="none"/>
              </w:tabs>
              <w:bidi w:val="0"/>
              <w:spacing w:before="100" w:after="100"/>
              <w:rPr/>
            </w:pPr>
            <w:r>
              <w:rPr/>
              <w:t>commuting flows,</w:t>
            </w:r>
          </w:p>
          <w:p>
            <w:pPr>
              <w:pStyle w:val="NormalWeb"/>
              <w:numPr>
                <w:ilvl w:val="0"/>
                <w:numId w:val="15"/>
              </w:numPr>
              <w:tabs>
                <w:tab w:val="left" w:pos="720" w:leader="none"/>
              </w:tabs>
              <w:bidi w:val="0"/>
              <w:spacing w:before="100" w:after="100"/>
              <w:rPr/>
            </w:pPr>
            <w:r>
              <w:rPr/>
              <w:t>employment catchments,</w:t>
            </w:r>
          </w:p>
          <w:p>
            <w:pPr>
              <w:pStyle w:val="NormalWeb"/>
              <w:numPr>
                <w:ilvl w:val="0"/>
                <w:numId w:val="15"/>
              </w:numPr>
              <w:tabs>
                <w:tab w:val="left" w:pos="720" w:leader="none"/>
              </w:tabs>
              <w:bidi w:val="0"/>
              <w:spacing w:before="100" w:after="100"/>
              <w:rPr/>
            </w:pPr>
            <w:r>
              <w:rPr/>
              <w:t>transport capacity,</w:t>
            </w:r>
          </w:p>
          <w:p>
            <w:pPr>
              <w:pStyle w:val="NormalWeb"/>
              <w:numPr>
                <w:ilvl w:val="0"/>
                <w:numId w:val="15"/>
              </w:numPr>
              <w:tabs>
                <w:tab w:val="left" w:pos="720" w:leader="none"/>
              </w:tabs>
              <w:bidi w:val="0"/>
              <w:spacing w:before="100" w:after="100"/>
              <w:rPr>
                <w:rFonts w:ascii="Times New Roman" w:hAnsi="Times New Roman"/>
              </w:rPr>
            </w:pPr>
            <w:r>
              <w:rPr/>
              <w:t>modal shift feasibility.</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a strategic transport plan for LMA</w:t>
            </w:r>
          </w:p>
          <w:p>
            <w:pPr>
              <w:pStyle w:val="NormalWeb"/>
              <w:bidi w:val="0"/>
              <w:spacing w:before="100" w:after="100"/>
              <w:rPr>
                <w:rFonts w:ascii="Times New Roman" w:hAnsi="Times New Roman"/>
              </w:rPr>
            </w:pPr>
            <w:r>
              <w:rPr/>
              <w:t>Including:</w:t>
            </w:r>
          </w:p>
          <w:p>
            <w:pPr>
              <w:pStyle w:val="NormalWeb"/>
              <w:numPr>
                <w:ilvl w:val="0"/>
                <w:numId w:val="16"/>
              </w:numPr>
              <w:tabs>
                <w:tab w:val="left" w:pos="720" w:leader="none"/>
              </w:tabs>
              <w:bidi w:val="0"/>
              <w:spacing w:before="100" w:after="100"/>
              <w:rPr/>
            </w:pPr>
            <w:r>
              <w:rPr/>
              <w:t>mass transit options,</w:t>
            </w:r>
          </w:p>
          <w:p>
            <w:pPr>
              <w:pStyle w:val="NormalWeb"/>
              <w:numPr>
                <w:ilvl w:val="0"/>
                <w:numId w:val="16"/>
              </w:numPr>
              <w:tabs>
                <w:tab w:val="left" w:pos="720" w:leader="none"/>
              </w:tabs>
              <w:bidi w:val="0"/>
              <w:spacing w:before="100" w:after="100"/>
              <w:rPr/>
            </w:pPr>
            <w:r>
              <w:rPr/>
              <w:t>active travel networks,</w:t>
            </w:r>
          </w:p>
          <w:p>
            <w:pPr>
              <w:pStyle w:val="NormalWeb"/>
              <w:numPr>
                <w:ilvl w:val="0"/>
                <w:numId w:val="16"/>
              </w:numPr>
              <w:tabs>
                <w:tab w:val="left" w:pos="720" w:leader="none"/>
              </w:tabs>
              <w:bidi w:val="0"/>
              <w:spacing w:before="100" w:after="100"/>
              <w:rPr/>
            </w:pPr>
            <w:r>
              <w:rPr/>
              <w:t>bus corridors,</w:t>
            </w:r>
          </w:p>
          <w:p>
            <w:pPr>
              <w:pStyle w:val="NormalWeb"/>
              <w:numPr>
                <w:ilvl w:val="0"/>
                <w:numId w:val="16"/>
              </w:numPr>
              <w:tabs>
                <w:tab w:val="left" w:pos="720" w:leader="none"/>
              </w:tabs>
              <w:bidi w:val="0"/>
              <w:spacing w:before="100" w:after="100"/>
              <w:rPr/>
            </w:pPr>
            <w:r>
              <w:rPr/>
              <w:t>junction upgrades,</w:t>
            </w:r>
          </w:p>
          <w:p>
            <w:pPr>
              <w:pStyle w:val="NormalWeb"/>
              <w:numPr>
                <w:ilvl w:val="0"/>
                <w:numId w:val="16"/>
              </w:numPr>
              <w:tabs>
                <w:tab w:val="left" w:pos="720" w:leader="none"/>
              </w:tabs>
              <w:bidi w:val="0"/>
              <w:spacing w:before="100" w:after="100"/>
              <w:rPr>
                <w:rFonts w:ascii="Times New Roman" w:hAnsi="Times New Roman"/>
              </w:rPr>
            </w:pPr>
            <w:r>
              <w:rPr/>
              <w:t xml:space="preserve">unequivocal </w:t>
            </w:r>
            <w:r>
              <w:rPr/>
              <w:t>phasing triggers.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Reassess the scale and location of LMA</w:t>
            </w:r>
          </w:p>
          <w:p>
            <w:pPr>
              <w:pStyle w:val="NormalWeb"/>
              <w:bidi w:val="0"/>
              <w:spacing w:before="100" w:after="100"/>
              <w:rPr>
                <w:rFonts w:ascii="Times New Roman" w:hAnsi="Times New Roman"/>
              </w:rPr>
            </w:pPr>
            <w:r>
              <w:rPr/>
              <w:t>If sustainable employment access cannot be delivered, the allocation must be:</w:t>
            </w:r>
          </w:p>
          <w:p>
            <w:pPr>
              <w:pStyle w:val="NormalWeb"/>
              <w:numPr>
                <w:ilvl w:val="0"/>
                <w:numId w:val="3"/>
              </w:numPr>
              <w:tabs>
                <w:tab w:val="left" w:pos="720" w:leader="none"/>
              </w:tabs>
              <w:bidi w:val="0"/>
              <w:spacing w:before="100" w:after="100"/>
              <w:ind w:hanging="360" w:left="720" w:right="0"/>
              <w:rPr>
                <w:rFonts w:ascii="Times New Roman" w:hAnsi="Times New Roman"/>
              </w:rPr>
            </w:pPr>
            <w:r>
              <w:rPr/>
              <w:t>reduced,</w:t>
            </w:r>
          </w:p>
          <w:p>
            <w:pPr>
              <w:pStyle w:val="NormalWeb"/>
              <w:numPr>
                <w:ilvl w:val="0"/>
                <w:numId w:val="3"/>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3"/>
              </w:numPr>
              <w:tabs>
                <w:tab w:val="left" w:pos="720" w:leader="none"/>
              </w:tabs>
              <w:bidi w:val="0"/>
              <w:spacing w:before="100" w:after="100"/>
              <w:ind w:hanging="360" w:left="720" w:right="0"/>
              <w:rPr>
                <w:rFonts w:ascii="Times New Roman" w:hAnsi="Times New Roman"/>
              </w:rPr>
            </w:pPr>
            <w:r>
              <w:rPr/>
              <w:t>or replaced with less remote alternatives.</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evidence</w:t>
            </w:r>
            <w:r>
              <w:rPr/>
              <w:t xml:space="preserve"> that the settlement can access major employment centres sustainably or be served by strategic transport infrastructure.</w:t>
            </w:r>
          </w:p>
          <w:p>
            <w:pPr>
              <w:pStyle w:val="NormalWeb"/>
              <w:bidi w:val="0"/>
              <w:spacing w:before="100" w:after="100"/>
              <w:rPr>
                <w:rFonts w:ascii="Times New Roman" w:hAnsi="Times New Roman"/>
              </w:rPr>
            </w:pPr>
            <w:r>
              <w:rPr/>
              <w:t>The allocation is:</w:t>
            </w:r>
          </w:p>
          <w:p>
            <w:pPr>
              <w:pStyle w:val="NormalWeb"/>
              <w:numPr>
                <w:ilvl w:val="0"/>
                <w:numId w:val="4"/>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rStyle w:val="Strong"/>
                <w:lang w:val="en-GB" w:eastAsia="en-GB" w:bidi="ar-SA"/>
              </w:rPr>
              <w:t>Not Consistent with National Policy</w:t>
            </w:r>
            <w:r>
              <w:rPr/>
              <w:t>.</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Application>LibreOffice/26.2.5.2$Windows_X86_64 LibreOffice_project/cd7284b4cbbfeb507e630c1aac019f4157393acb</Application>
  <AppVersion>15.0000</AppVersion>
  <Pages>8</Pages>
  <Words>1647</Words>
  <Characters>8711</Characters>
  <CharactersWithSpaces>10093</CharactersWithSpaces>
  <Paragraphs>213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2026-08-28T14:24:15Z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