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2"/>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2"/>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ID.2</w:t>
            </w:r>
          </w:p>
          <w:p>
            <w:pPr>
              <w:pStyle w:val="Normal"/>
              <w:rPr>
                <w:rFonts w:ascii="Arial" w:hAnsi="Arial" w:cs="Arial"/>
              </w:rPr>
            </w:pPr>
            <w:r>
              <w:rPr>
                <w:rFonts w:cs="Arial" w:ascii="Arial" w:hAnsi="Arial"/>
              </w:rPr>
              <w:t>ID.4</w:t>
            </w:r>
          </w:p>
          <w:p>
            <w:pPr>
              <w:pStyle w:val="Normal"/>
              <w:rPr>
                <w:rFonts w:ascii="Arial" w:hAnsi="Arial" w:cs="Arial"/>
              </w:rPr>
            </w:pPr>
            <w:r>
              <w:rPr>
                <w:rFonts w:cs="Arial" w:ascii="Arial" w:hAnsi="Arial"/>
              </w:rPr>
              <w:t>ID.5</w:t>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568"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233"/>
        <w:gridCol w:w="1027"/>
        <w:gridCol w:w="3777"/>
        <w:gridCol w:w="1045"/>
        <w:gridCol w:w="2486"/>
      </w:tblGrid>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2078"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r>
          </w:p>
          <w:p>
            <w:pPr>
              <w:pStyle w:val="Heading1"/>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Regulation 19 Representation – Transport Objection to Proposal LMA (Long Marston Airfield New Community)</w:t>
            </w:r>
          </w:p>
          <w:p>
            <w:pPr>
              <w:pStyle w:val="NormalWeb"/>
              <w:bidi w:val="0"/>
              <w:spacing w:before="100" w:after="100"/>
              <w:rPr>
                <w:rFonts w:ascii="Times New Roman" w:hAnsi="Times New Roman"/>
              </w:rPr>
            </w:pPr>
            <w:r>
              <w:rPr>
                <w:rStyle w:val="Strong"/>
                <w:lang w:val="en-GB" w:eastAsia="en-GB" w:bidi="ar-SA"/>
              </w:rPr>
              <w:t>Tests of Soundness: Not Justified • Not Effective • Not Consistent with National Policy (NPPF §§104–110)</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1. Summary of Representation</w:t>
            </w:r>
          </w:p>
          <w:p>
            <w:pPr>
              <w:pStyle w:val="NormalWeb"/>
              <w:bidi w:val="0"/>
              <w:spacing w:before="100" w:after="100"/>
              <w:rPr>
                <w:rFonts w:ascii="Times New Roman" w:hAnsi="Times New Roman"/>
              </w:rPr>
            </w:pPr>
            <w:r>
              <w:rPr/>
              <w:t xml:space="preserve">I object to </w:t>
            </w:r>
            <w:r>
              <w:rPr>
                <w:rStyle w:val="Strong"/>
                <w:lang w:val="en-GB" w:eastAsia="en-GB" w:bidi="ar-SA"/>
              </w:rPr>
              <w:t>Proposal LMA</w:t>
            </w:r>
            <w:r>
              <w:rPr/>
              <w:t xml:space="preserve"> on transport grounds. The allocation is </w:t>
            </w:r>
            <w:r>
              <w:rPr>
                <w:rStyle w:val="Strong"/>
                <w:lang w:val="en-GB" w:eastAsia="en-GB" w:bidi="ar-SA"/>
              </w:rPr>
              <w:t>unsound</w:t>
            </w:r>
            <w:r>
              <w:rPr/>
              <w:t xml:space="preserve"> because the plan does not demonstrate that the transport impacts of a major new settlement at Long Marston Airfield can be safely or sustainably accommodated. The evidence base is incomplete, unpublished, and inconsistent with the requirements of </w:t>
            </w:r>
            <w:r>
              <w:rPr>
                <w:rStyle w:val="Strong"/>
                <w:lang w:val="en-GB" w:eastAsia="en-GB" w:bidi="ar-SA"/>
              </w:rPr>
              <w:t>NPPF §§104–110</w:t>
            </w:r>
            <w:r>
              <w:rPr/>
              <w:t>.</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2. Relevant SWLP References</w:t>
            </w:r>
          </w:p>
          <w:p>
            <w:pPr>
              <w:pStyle w:val="NormalWeb"/>
              <w:numPr>
                <w:ilvl w:val="0"/>
                <w:numId w:val="7"/>
              </w:numPr>
              <w:tabs>
                <w:tab w:val="left" w:pos="720" w:leader="none"/>
              </w:tabs>
              <w:bidi w:val="0"/>
              <w:spacing w:before="100" w:after="100"/>
              <w:rPr/>
            </w:pPr>
            <w:r>
              <w:rPr>
                <w:rStyle w:val="Strong"/>
                <w:lang w:val="en-GB" w:eastAsia="en-GB" w:bidi="ar-SA"/>
              </w:rPr>
              <w:t>Proposal LMA – Movement &amp; Transport paragraphs Section 8.2</w:t>
            </w:r>
            <w:r>
              <w:rPr/>
              <w:t xml:space="preserve"> </w:t>
            </w:r>
          </w:p>
          <w:p>
            <w:pPr>
              <w:pStyle w:val="NormalWeb"/>
              <w:numPr>
                <w:ilvl w:val="0"/>
                <w:numId w:val="7"/>
              </w:numPr>
              <w:tabs>
                <w:tab w:val="left" w:pos="720" w:leader="none"/>
              </w:tabs>
              <w:bidi w:val="0"/>
              <w:spacing w:before="100" w:after="100"/>
              <w:rPr/>
            </w:pPr>
            <w:r>
              <w:rPr>
                <w:rStyle w:val="Strong"/>
                <w:lang w:val="en-GB" w:eastAsia="en-GB" w:bidi="ar-SA"/>
              </w:rPr>
              <w:t>ID.2 – Transport Infrastructure</w:t>
            </w:r>
          </w:p>
          <w:p>
            <w:pPr>
              <w:pStyle w:val="NormalWeb"/>
              <w:numPr>
                <w:ilvl w:val="0"/>
                <w:numId w:val="7"/>
              </w:numPr>
              <w:tabs>
                <w:tab w:val="left" w:pos="720" w:leader="none"/>
              </w:tabs>
              <w:bidi w:val="0"/>
              <w:spacing w:before="100" w:after="100"/>
              <w:rPr/>
            </w:pPr>
            <w:r>
              <w:rPr>
                <w:rStyle w:val="Strong"/>
                <w:lang w:val="en-GB" w:eastAsia="en-GB" w:bidi="ar-SA"/>
              </w:rPr>
              <w:t>ID.4 – Stratford-upon-Avon Bypass</w:t>
            </w:r>
          </w:p>
          <w:p>
            <w:pPr>
              <w:pStyle w:val="NormalWeb"/>
              <w:numPr>
                <w:ilvl w:val="0"/>
                <w:numId w:val="7"/>
              </w:numPr>
              <w:tabs>
                <w:tab w:val="left" w:pos="720" w:leader="none"/>
              </w:tabs>
              <w:bidi w:val="0"/>
              <w:spacing w:before="100" w:after="100"/>
              <w:rPr>
                <w:rFonts w:ascii="Times New Roman" w:hAnsi="Times New Roman"/>
              </w:rPr>
            </w:pPr>
            <w:r>
              <w:rPr>
                <w:rStyle w:val="Strong"/>
                <w:lang w:val="en-GB" w:eastAsia="en-GB" w:bidi="ar-SA"/>
              </w:rPr>
              <w:t>ID.5 – Sustainable Transport Accessibility</w:t>
            </w:r>
          </w:p>
          <w:p>
            <w:pPr>
              <w:pStyle w:val="NormalWeb"/>
              <w:bidi w:val="0"/>
              <w:spacing w:before="100" w:after="100"/>
              <w:rPr>
                <w:rFonts w:ascii="Times New Roman" w:hAnsi="Times New Roman"/>
              </w:rPr>
            </w:pPr>
            <w:r>
              <w:rPr/>
              <w:t xml:space="preserve">These sections collectively acknowledge the need for </w:t>
            </w:r>
            <w:r>
              <w:rPr>
                <w:rStyle w:val="Strong"/>
                <w:lang w:val="en-GB" w:eastAsia="en-GB" w:bidi="ar-SA"/>
              </w:rPr>
              <w:t>major transport interventions</w:t>
            </w:r>
            <w:r>
              <w:rPr/>
              <w:t>, but do not provide evidence that they are deliverable, funded, or effective.</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 Failure of Soundness (NPPF §§104–110)</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3.1 Not Justified (NPPF §31, §§104–108)</w:t>
            </w:r>
          </w:p>
          <w:p>
            <w:pPr>
              <w:pStyle w:val="NormalWeb"/>
              <w:bidi w:val="0"/>
              <w:spacing w:before="100" w:after="100"/>
              <w:rPr>
                <w:rFonts w:ascii="Times New Roman" w:hAnsi="Times New Roman"/>
              </w:rPr>
            </w:pPr>
            <w:r>
              <w:rPr/>
              <w:t xml:space="preserve">The plan does not include </w:t>
            </w:r>
            <w:r>
              <w:rPr>
                <w:rStyle w:val="Strong"/>
                <w:lang w:val="en-GB" w:eastAsia="en-GB" w:bidi="ar-SA"/>
              </w:rPr>
              <w:t>proportionate transport evidence</w:t>
            </w:r>
            <w:r>
              <w:rPr/>
              <w:t xml:space="preserve"> for a strategic site of this scale.</w:t>
            </w:r>
          </w:p>
          <w:p>
            <w:pPr>
              <w:pStyle w:val="NormalWeb"/>
              <w:numPr>
                <w:ilvl w:val="0"/>
                <w:numId w:val="8"/>
              </w:numPr>
              <w:tabs>
                <w:tab w:val="left" w:pos="720" w:leader="none"/>
              </w:tabs>
              <w:bidi w:val="0"/>
              <w:spacing w:before="100" w:after="100"/>
              <w:rPr/>
            </w:pPr>
            <w:r>
              <w:rPr/>
              <w:t xml:space="preserve">No </w:t>
            </w:r>
            <w:r>
              <w:rPr>
                <w:rStyle w:val="Strong"/>
                <w:lang w:val="en-GB" w:eastAsia="en-GB" w:bidi="ar-SA"/>
              </w:rPr>
              <w:t>published transport modelling</w:t>
            </w:r>
            <w:r>
              <w:rPr/>
              <w:t xml:space="preserve"> for LMA.</w:t>
            </w:r>
          </w:p>
          <w:p>
            <w:pPr>
              <w:pStyle w:val="NormalWeb"/>
              <w:numPr>
                <w:ilvl w:val="0"/>
                <w:numId w:val="8"/>
              </w:numPr>
              <w:tabs>
                <w:tab w:val="left" w:pos="720" w:leader="none"/>
              </w:tabs>
              <w:bidi w:val="0"/>
              <w:spacing w:before="100" w:after="100"/>
              <w:rPr/>
            </w:pPr>
            <w:r>
              <w:rPr/>
              <w:t xml:space="preserve">No </w:t>
            </w:r>
            <w:r>
              <w:rPr>
                <w:rStyle w:val="Strong"/>
                <w:lang w:val="en-GB" w:eastAsia="en-GB" w:bidi="ar-SA"/>
              </w:rPr>
              <w:t>junction capacity analysis</w:t>
            </w:r>
            <w:r>
              <w:rPr/>
              <w:t xml:space="preserve"> for the B4632, Campden Road, or Stratford’s southern approaches.</w:t>
            </w:r>
          </w:p>
          <w:p>
            <w:pPr>
              <w:pStyle w:val="NormalWeb"/>
              <w:numPr>
                <w:ilvl w:val="0"/>
                <w:numId w:val="8"/>
              </w:numPr>
              <w:tabs>
                <w:tab w:val="left" w:pos="720" w:leader="none"/>
              </w:tabs>
              <w:bidi w:val="0"/>
              <w:spacing w:before="100" w:after="100"/>
              <w:rPr/>
            </w:pPr>
            <w:r>
              <w:rPr/>
              <w:t xml:space="preserve">No evidence that </w:t>
            </w:r>
            <w:r>
              <w:rPr>
                <w:rStyle w:val="Strong"/>
                <w:lang w:val="en-GB" w:eastAsia="en-GB" w:bidi="ar-SA"/>
              </w:rPr>
              <w:t>sustainable transport modes</w:t>
            </w:r>
            <w:r>
              <w:rPr/>
              <w:t xml:space="preserve"> can realistically support a remote settlement.</w:t>
            </w:r>
          </w:p>
          <w:p>
            <w:pPr>
              <w:pStyle w:val="NormalWeb"/>
              <w:numPr>
                <w:ilvl w:val="0"/>
                <w:numId w:val="8"/>
              </w:numPr>
              <w:tabs>
                <w:tab w:val="left" w:pos="720" w:leader="none"/>
              </w:tabs>
              <w:bidi w:val="0"/>
              <w:spacing w:before="100" w:after="100"/>
              <w:rPr>
                <w:rFonts w:ascii="Times New Roman" w:hAnsi="Times New Roman"/>
              </w:rPr>
            </w:pPr>
            <w:r>
              <w:rPr/>
              <w:t xml:space="preserve">No demonstration that LMA is located where </w:t>
            </w:r>
            <w:r>
              <w:rPr>
                <w:rStyle w:val="Strong"/>
                <w:lang w:val="en-GB" w:eastAsia="en-GB" w:bidi="ar-SA"/>
              </w:rPr>
              <w:t>sustainable travel is possible</w:t>
            </w:r>
            <w:r>
              <w:rPr/>
              <w:t xml:space="preserve"> (NPPF §104, §105).</w:t>
            </w:r>
          </w:p>
          <w:p>
            <w:pPr>
              <w:pStyle w:val="NormalWeb"/>
              <w:bidi w:val="0"/>
              <w:spacing w:before="100" w:after="100"/>
              <w:rPr>
                <w:rFonts w:ascii="Times New Roman" w:hAnsi="Times New Roman"/>
              </w:rPr>
            </w:pPr>
            <w:r>
              <w:rPr/>
              <w:t xml:space="preserve">The SWLP relies on </w:t>
            </w:r>
            <w:r>
              <w:rPr>
                <w:rStyle w:val="Strong"/>
                <w:lang w:val="en-GB" w:eastAsia="en-GB" w:bidi="ar-SA"/>
              </w:rPr>
              <w:t>assumptions</w:t>
            </w:r>
            <w:r>
              <w:rPr/>
              <w:t>, not evidence.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3.2 Not Effective (NPPF §22, §106, §108, §110)</w:t>
            </w:r>
          </w:p>
          <w:p>
            <w:pPr>
              <w:pStyle w:val="NormalWeb"/>
              <w:bidi w:val="0"/>
              <w:spacing w:before="100" w:after="100"/>
              <w:rPr>
                <w:rFonts w:ascii="Times New Roman" w:hAnsi="Times New Roman"/>
              </w:rPr>
            </w:pPr>
            <w:r>
              <w:rPr/>
              <w:t xml:space="preserve">The plan depends on </w:t>
            </w:r>
            <w:r>
              <w:rPr>
                <w:rStyle w:val="Strong"/>
                <w:lang w:val="en-GB" w:eastAsia="en-GB" w:bidi="ar-SA"/>
              </w:rPr>
              <w:t>major strategic transport interventions</w:t>
            </w:r>
            <w:r>
              <w:rPr/>
              <w:t xml:space="preserve"> that:</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Are </w:t>
            </w:r>
            <w:r>
              <w:rPr>
                <w:rStyle w:val="Strong"/>
                <w:lang w:val="en-GB" w:eastAsia="en-GB" w:bidi="ar-SA"/>
              </w:rPr>
              <w:t>not funded</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Have </w:t>
            </w:r>
            <w:r>
              <w:rPr>
                <w:rStyle w:val="Strong"/>
                <w:lang w:val="en-GB" w:eastAsia="en-GB" w:bidi="ar-SA"/>
              </w:rPr>
              <w:t>no delivery timeline</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Have </w:t>
            </w:r>
            <w:r>
              <w:rPr>
                <w:rStyle w:val="Strong"/>
                <w:lang w:val="en-GB" w:eastAsia="en-GB" w:bidi="ar-SA"/>
              </w:rPr>
              <w:t>no confirmed partners</w:t>
            </w:r>
          </w:p>
          <w:p>
            <w:pPr>
              <w:pStyle w:val="NormalWeb"/>
              <w:numPr>
                <w:ilvl w:val="0"/>
                <w:numId w:val="3"/>
              </w:numPr>
              <w:tabs>
                <w:tab w:val="left" w:pos="720" w:leader="none"/>
              </w:tabs>
              <w:bidi w:val="0"/>
              <w:spacing w:before="100" w:after="100"/>
              <w:ind w:hanging="360" w:left="720" w:right="0"/>
              <w:rPr>
                <w:rFonts w:ascii="Times New Roman" w:hAnsi="Times New Roman"/>
              </w:rPr>
            </w:pPr>
            <w:r>
              <w:rPr/>
              <w:t xml:space="preserve">Are </w:t>
            </w:r>
            <w:r>
              <w:rPr>
                <w:rStyle w:val="Strong"/>
                <w:lang w:val="en-GB" w:eastAsia="en-GB" w:bidi="ar-SA"/>
              </w:rPr>
              <w:t>not guaranteed</w:t>
            </w:r>
            <w:r>
              <w:rPr/>
              <w:t xml:space="preserve"> to be delivered within the plan period</w:t>
            </w:r>
          </w:p>
          <w:p>
            <w:pPr>
              <w:pStyle w:val="NormalWeb"/>
              <w:bidi w:val="0"/>
              <w:spacing w:before="100" w:after="100"/>
              <w:rPr>
                <w:rFonts w:ascii="Times New Roman" w:hAnsi="Times New Roman"/>
              </w:rPr>
            </w:pPr>
            <w:r>
              <w:rPr/>
              <w:t>These include:</w:t>
            </w:r>
          </w:p>
          <w:p>
            <w:pPr>
              <w:pStyle w:val="NormalWeb"/>
              <w:numPr>
                <w:ilvl w:val="0"/>
                <w:numId w:val="4"/>
              </w:numPr>
              <w:tabs>
                <w:tab w:val="left" w:pos="720" w:leader="none"/>
              </w:tabs>
              <w:bidi w:val="0"/>
              <w:spacing w:before="100" w:after="100"/>
              <w:ind w:hanging="360" w:left="720" w:right="0"/>
              <w:rPr>
                <w:rFonts w:ascii="Times New Roman" w:hAnsi="Times New Roman"/>
              </w:rPr>
            </w:pPr>
            <w:r>
              <w:rPr/>
              <w:t>Stratford-upon-Avon bypass (ID.4)</w:t>
            </w:r>
          </w:p>
          <w:p>
            <w:pPr>
              <w:pStyle w:val="NormalWeb"/>
              <w:numPr>
                <w:ilvl w:val="0"/>
                <w:numId w:val="4"/>
              </w:numPr>
              <w:tabs>
                <w:tab w:val="left" w:pos="720" w:leader="none"/>
              </w:tabs>
              <w:bidi w:val="0"/>
              <w:spacing w:before="100" w:after="100"/>
              <w:ind w:hanging="360" w:left="720" w:right="0"/>
              <w:rPr>
                <w:rFonts w:ascii="Times New Roman" w:hAnsi="Times New Roman"/>
              </w:rPr>
            </w:pPr>
            <w:r>
              <w:rPr/>
              <w:t>Major junction upgrades</w:t>
            </w:r>
          </w:p>
          <w:p>
            <w:pPr>
              <w:pStyle w:val="NormalWeb"/>
              <w:numPr>
                <w:ilvl w:val="0"/>
                <w:numId w:val="4"/>
              </w:numPr>
              <w:tabs>
                <w:tab w:val="left" w:pos="720" w:leader="none"/>
              </w:tabs>
              <w:bidi w:val="0"/>
              <w:spacing w:before="100" w:after="100"/>
              <w:ind w:hanging="360" w:left="720" w:right="0"/>
              <w:rPr>
                <w:rFonts w:ascii="Times New Roman" w:hAnsi="Times New Roman"/>
              </w:rPr>
            </w:pPr>
            <w:r>
              <w:rPr/>
              <w:t>New access routes</w:t>
            </w:r>
          </w:p>
          <w:p>
            <w:pPr>
              <w:pStyle w:val="NormalWeb"/>
              <w:numPr>
                <w:ilvl w:val="0"/>
                <w:numId w:val="4"/>
              </w:numPr>
              <w:tabs>
                <w:tab w:val="left" w:pos="720" w:leader="none"/>
              </w:tabs>
              <w:bidi w:val="0"/>
              <w:spacing w:before="100" w:after="100"/>
              <w:ind w:hanging="360" w:left="720" w:right="0"/>
              <w:rPr>
                <w:rFonts w:ascii="Times New Roman" w:hAnsi="Times New Roman"/>
              </w:rPr>
            </w:pPr>
            <w:r>
              <w:rPr/>
              <w:t>Public transport corridors</w:t>
            </w:r>
          </w:p>
          <w:p>
            <w:pPr>
              <w:pStyle w:val="NormalWeb"/>
              <w:numPr>
                <w:ilvl w:val="0"/>
                <w:numId w:val="4"/>
              </w:numPr>
              <w:tabs>
                <w:tab w:val="left" w:pos="720" w:leader="none"/>
              </w:tabs>
              <w:bidi w:val="0"/>
              <w:spacing w:before="100" w:after="100"/>
              <w:ind w:hanging="360" w:left="720" w:right="0"/>
              <w:rPr>
                <w:rFonts w:ascii="Times New Roman" w:hAnsi="Times New Roman"/>
              </w:rPr>
            </w:pPr>
            <w:r>
              <w:rPr/>
              <w:t>Active travel networks</w:t>
            </w:r>
          </w:p>
          <w:p>
            <w:pPr>
              <w:pStyle w:val="NormalWeb"/>
              <w:bidi w:val="0"/>
              <w:spacing w:before="100" w:after="100"/>
              <w:rPr>
                <w:rFonts w:ascii="Times New Roman" w:hAnsi="Times New Roman"/>
              </w:rPr>
            </w:pPr>
            <w:r>
              <w:rPr/>
              <w:t xml:space="preserve">Proposal LMA (8.2.28–8.2.35) lists these interventions but provides </w:t>
            </w:r>
            <w:r>
              <w:rPr>
                <w:rStyle w:val="Strong"/>
                <w:lang w:val="en-GB" w:eastAsia="en-GB" w:bidi="ar-SA"/>
              </w:rPr>
              <w:t>no mechanism</w:t>
            </w:r>
            <w:r>
              <w:rPr/>
              <w:t xml:space="preserve"> to ensure they are delivered </w:t>
            </w:r>
            <w:r>
              <w:rPr>
                <w:rStyle w:val="Strong"/>
                <w:lang w:val="en-GB" w:eastAsia="en-GB" w:bidi="ar-SA"/>
              </w:rPr>
              <w:t>before occupation</w:t>
            </w:r>
            <w:r>
              <w:rPr/>
              <w:t>.</w:t>
            </w:r>
          </w:p>
          <w:p>
            <w:pPr>
              <w:pStyle w:val="NormalWeb"/>
              <w:bidi w:val="0"/>
              <w:spacing w:before="100" w:after="100"/>
              <w:rPr>
                <w:rFonts w:ascii="Times New Roman" w:hAnsi="Times New Roman"/>
              </w:rPr>
            </w:pPr>
            <w:r>
              <w:rPr/>
              <w:t xml:space="preserve">This makes the allocation </w:t>
            </w:r>
            <w:r>
              <w:rPr>
                <w:rStyle w:val="Strong"/>
                <w:lang w:val="en-GB" w:eastAsia="en-GB" w:bidi="ar-SA"/>
              </w:rPr>
              <w:t>undeliverable</w:t>
            </w:r>
            <w:r>
              <w:rPr/>
              <w: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3.3 Not Consistent with National Policy (NPPF §109, §110)</w:t>
            </w:r>
          </w:p>
          <w:p>
            <w:pPr>
              <w:pStyle w:val="NormalWeb"/>
              <w:bidi w:val="0"/>
              <w:spacing w:before="100" w:after="100"/>
              <w:rPr>
                <w:rFonts w:ascii="Times New Roman" w:hAnsi="Times New Roman"/>
              </w:rPr>
            </w:pPr>
            <w:r>
              <w:rPr/>
              <w:t>NPPF §109 states:</w:t>
            </w:r>
          </w:p>
          <w:p>
            <w:pPr>
              <w:pStyle w:val="NormalWeb"/>
              <w:bidi w:val="0"/>
              <w:spacing w:before="100" w:after="100"/>
              <w:rPr>
                <w:rFonts w:ascii="Times New Roman" w:hAnsi="Times New Roman"/>
              </w:rPr>
            </w:pPr>
            <w:r>
              <w:rPr/>
              <w:t>Development should only be prevented or refused on highways grounds if there would be an unacceptable impact on highway safety, or the residual cumulative impacts on the road network would be severe.</w:t>
            </w:r>
          </w:p>
          <w:p>
            <w:pPr>
              <w:pStyle w:val="NormalWeb"/>
              <w:bidi w:val="0"/>
              <w:spacing w:before="100" w:after="100"/>
              <w:rPr>
                <w:rFonts w:ascii="Times New Roman" w:hAnsi="Times New Roman"/>
              </w:rPr>
            </w:pPr>
            <w:r>
              <w:rPr/>
              <w:t xml:space="preserve">Because the council has </w:t>
            </w:r>
            <w:r>
              <w:rPr>
                <w:rStyle w:val="Strong"/>
                <w:lang w:val="en-GB" w:eastAsia="en-GB" w:bidi="ar-SA"/>
              </w:rPr>
              <w:t>not published modelling</w:t>
            </w:r>
            <w:r>
              <w:rPr/>
              <w:t>, it cannot demonstrate that:</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Residual impacts will </w:t>
            </w:r>
            <w:r>
              <w:rPr>
                <w:rStyle w:val="Strong"/>
                <w:lang w:val="en-GB" w:eastAsia="en-GB" w:bidi="ar-SA"/>
              </w:rPr>
              <w:t>not</w:t>
            </w:r>
            <w:r>
              <w:rPr/>
              <w:t xml:space="preserve"> be severe</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Highway safety will </w:t>
            </w:r>
            <w:r>
              <w:rPr>
                <w:rStyle w:val="Strong"/>
                <w:lang w:val="en-GB" w:eastAsia="en-GB" w:bidi="ar-SA"/>
              </w:rPr>
              <w:t>not</w:t>
            </w:r>
            <w:r>
              <w:rPr/>
              <w:t xml:space="preserve"> be compromised</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Access will be </w:t>
            </w:r>
            <w:r>
              <w:rPr>
                <w:rStyle w:val="Strong"/>
                <w:lang w:val="en-GB" w:eastAsia="en-GB" w:bidi="ar-SA"/>
              </w:rPr>
              <w:t>safe and suitable for all users</w:t>
            </w:r>
            <w:r>
              <w:rPr/>
              <w:t xml:space="preserve"> (NPPF §110)</w:t>
            </w:r>
          </w:p>
          <w:p>
            <w:pPr>
              <w:pStyle w:val="NormalWeb"/>
              <w:bidi w:val="0"/>
              <w:spacing w:before="100" w:after="100"/>
              <w:rPr>
                <w:rFonts w:ascii="Times New Roman" w:hAnsi="Times New Roman"/>
              </w:rPr>
            </w:pPr>
            <w:r>
              <w:rPr/>
              <w:t>Given existing congestion on:</w:t>
            </w:r>
          </w:p>
          <w:p>
            <w:pPr>
              <w:pStyle w:val="NormalWeb"/>
              <w:numPr>
                <w:ilvl w:val="0"/>
                <w:numId w:val="6"/>
              </w:numPr>
              <w:tabs>
                <w:tab w:val="left" w:pos="720" w:leader="none"/>
              </w:tabs>
              <w:bidi w:val="0"/>
              <w:spacing w:before="100" w:after="100"/>
              <w:ind w:hanging="360" w:left="720" w:right="0"/>
              <w:rPr>
                <w:rFonts w:ascii="Times New Roman" w:hAnsi="Times New Roman"/>
              </w:rPr>
            </w:pPr>
            <w:r>
              <w:rPr/>
              <w:t>B4632</w:t>
            </w:r>
          </w:p>
          <w:p>
            <w:pPr>
              <w:pStyle w:val="NormalWeb"/>
              <w:numPr>
                <w:ilvl w:val="0"/>
                <w:numId w:val="6"/>
              </w:numPr>
              <w:tabs>
                <w:tab w:val="left" w:pos="720" w:leader="none"/>
              </w:tabs>
              <w:bidi w:val="0"/>
              <w:spacing w:before="100" w:after="100"/>
              <w:ind w:hanging="360" w:left="720" w:right="0"/>
              <w:rPr>
                <w:rFonts w:ascii="Times New Roman" w:hAnsi="Times New Roman"/>
              </w:rPr>
            </w:pPr>
            <w:r>
              <w:rPr/>
              <w:t>Campden Road</w:t>
            </w:r>
          </w:p>
          <w:p>
            <w:pPr>
              <w:pStyle w:val="NormalWeb"/>
              <w:numPr>
                <w:ilvl w:val="0"/>
                <w:numId w:val="6"/>
              </w:numPr>
              <w:tabs>
                <w:tab w:val="left" w:pos="720" w:leader="none"/>
              </w:tabs>
              <w:bidi w:val="0"/>
              <w:spacing w:before="100" w:after="100"/>
              <w:ind w:hanging="360" w:left="720" w:right="0"/>
              <w:rPr>
                <w:rFonts w:ascii="Times New Roman" w:hAnsi="Times New Roman"/>
              </w:rPr>
            </w:pPr>
            <w:r>
              <w:rPr/>
              <w:t>Shipston Road</w:t>
            </w:r>
          </w:p>
          <w:p>
            <w:pPr>
              <w:pStyle w:val="NormalWeb"/>
              <w:numPr>
                <w:ilvl w:val="0"/>
                <w:numId w:val="6"/>
              </w:numPr>
              <w:tabs>
                <w:tab w:val="left" w:pos="720" w:leader="none"/>
              </w:tabs>
              <w:bidi w:val="0"/>
              <w:spacing w:before="100" w:after="100"/>
              <w:ind w:hanging="360" w:left="720" w:right="0"/>
              <w:rPr>
                <w:rFonts w:ascii="Times New Roman" w:hAnsi="Times New Roman"/>
              </w:rPr>
            </w:pPr>
            <w:r>
              <w:rPr/>
              <w:t>Seven Meadows Road</w:t>
            </w:r>
          </w:p>
          <w:p>
            <w:pPr>
              <w:pStyle w:val="NormalWeb"/>
              <w:numPr>
                <w:ilvl w:val="0"/>
                <w:numId w:val="6"/>
              </w:numPr>
              <w:tabs>
                <w:tab w:val="left" w:pos="720" w:leader="none"/>
              </w:tabs>
              <w:bidi w:val="0"/>
              <w:spacing w:before="100" w:after="100"/>
              <w:ind w:hanging="360" w:left="720" w:right="0"/>
              <w:rPr>
                <w:rFonts w:ascii="Times New Roman" w:hAnsi="Times New Roman"/>
              </w:rPr>
            </w:pPr>
            <w:r>
              <w:rPr/>
              <w:t>Bridgeway gyratory</w:t>
            </w:r>
          </w:p>
          <w:p>
            <w:pPr>
              <w:pStyle w:val="NormalWeb"/>
              <w:bidi w:val="0"/>
              <w:spacing w:before="100" w:after="100"/>
              <w:rPr>
                <w:rFonts w:ascii="Times New Roman" w:hAnsi="Times New Roman"/>
              </w:rPr>
            </w:pPr>
            <w:r>
              <w:rPr/>
              <w:t xml:space="preserve">The risk of </w:t>
            </w:r>
            <w:r>
              <w:rPr>
                <w:rStyle w:val="Strong"/>
                <w:lang w:val="en-GB" w:eastAsia="en-GB" w:bidi="ar-SA"/>
              </w:rPr>
              <w:t>severe residual impacts</w:t>
            </w:r>
            <w:r>
              <w:rPr/>
              <w:t xml:space="preserve"> is high.</w:t>
            </w:r>
          </w:p>
          <w:p>
            <w:pPr>
              <w:pStyle w:val="NormalWeb"/>
              <w:bidi w:val="0"/>
              <w:spacing w:before="100" w:after="100"/>
              <w:rPr>
                <w:rFonts w:ascii="Times New Roman" w:hAnsi="Times New Roman"/>
              </w:rPr>
            </w:pPr>
            <w:r>
              <w:rPr/>
              <w:t xml:space="preserve">The plan is therefore </w:t>
            </w:r>
            <w:r>
              <w:rPr>
                <w:rStyle w:val="Strong"/>
                <w:lang w:val="en-GB" w:eastAsia="en-GB" w:bidi="ar-SA"/>
              </w:rPr>
              <w:t>not consistent with NPPF §§109–110</w:t>
            </w:r>
            <w:r>
              <w:rPr/>
              <w: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56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568" w:type="dxa"/>
            <w:gridSpan w:val="5"/>
            <w:tcBorders>
              <w:top w:val="single" w:sz="4" w:space="0" w:color="000000"/>
              <w:left w:val="single" w:sz="4" w:space="0" w:color="000000"/>
              <w:bottom w:val="single" w:sz="4" w:space="0" w:color="000000"/>
              <w:right w:val="single" w:sz="4" w:space="0" w:color="000000"/>
            </w:tcBorders>
          </w:tcPr>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4</w:t>
            </w:r>
            <w:r>
              <w:rPr>
                <w:rStyle w:val="Strong"/>
                <w:rFonts w:ascii="Times New Roman" w:hAnsi="Times New Roman"/>
                <w:b w:val="false"/>
                <w:bCs w:val="false"/>
                <w:lang w:val="en-GB" w:eastAsia="en-GB" w:bidi="ar-SA"/>
              </w:rPr>
              <w:t>. Requested Modifications</w:t>
            </w:r>
          </w:p>
          <w:p>
            <w:pPr>
              <w:pStyle w:val="NormalWeb"/>
              <w:bidi w:val="0"/>
              <w:spacing w:before="100" w:after="100"/>
              <w:rPr>
                <w:rFonts w:ascii="Times New Roman" w:hAnsi="Times New Roman"/>
              </w:rPr>
            </w:pPr>
            <w:r>
              <w:rPr/>
              <w:t>To make Proposal LMA sound, the following modifications are required:</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1 – Publish Full Transport Modelling</w:t>
            </w:r>
          </w:p>
          <w:p>
            <w:pPr>
              <w:pStyle w:val="NormalWeb"/>
              <w:bidi w:val="0"/>
              <w:spacing w:before="100" w:after="100"/>
              <w:rPr>
                <w:rFonts w:ascii="Times New Roman" w:hAnsi="Times New Roman"/>
              </w:rPr>
            </w:pPr>
            <w:r>
              <w:rPr/>
              <w:t>The council must publish:</w:t>
            </w:r>
          </w:p>
          <w:p>
            <w:pPr>
              <w:pStyle w:val="NormalWeb"/>
              <w:numPr>
                <w:ilvl w:val="0"/>
                <w:numId w:val="9"/>
              </w:numPr>
              <w:tabs>
                <w:tab w:val="left" w:pos="720" w:leader="none"/>
              </w:tabs>
              <w:bidi w:val="0"/>
              <w:spacing w:before="100" w:after="100"/>
              <w:rPr/>
            </w:pPr>
            <w:r>
              <w:rPr/>
              <w:t>Strategic transport modelling</w:t>
            </w:r>
          </w:p>
          <w:p>
            <w:pPr>
              <w:pStyle w:val="NormalWeb"/>
              <w:numPr>
                <w:ilvl w:val="0"/>
                <w:numId w:val="9"/>
              </w:numPr>
              <w:tabs>
                <w:tab w:val="left" w:pos="720" w:leader="none"/>
              </w:tabs>
              <w:bidi w:val="0"/>
              <w:spacing w:before="100" w:after="100"/>
              <w:rPr/>
            </w:pPr>
            <w:r>
              <w:rPr/>
              <w:t>Junction capacity assessments</w:t>
            </w:r>
          </w:p>
          <w:p>
            <w:pPr>
              <w:pStyle w:val="NormalWeb"/>
              <w:numPr>
                <w:ilvl w:val="0"/>
                <w:numId w:val="9"/>
              </w:numPr>
              <w:tabs>
                <w:tab w:val="left" w:pos="720" w:leader="none"/>
              </w:tabs>
              <w:bidi w:val="0"/>
              <w:spacing w:before="100" w:after="100"/>
              <w:rPr/>
            </w:pPr>
            <w:r>
              <w:rPr/>
              <w:t>Traffic forecasts</w:t>
            </w:r>
          </w:p>
          <w:p>
            <w:pPr>
              <w:pStyle w:val="NormalWeb"/>
              <w:numPr>
                <w:ilvl w:val="0"/>
                <w:numId w:val="9"/>
              </w:numPr>
              <w:tabs>
                <w:tab w:val="left" w:pos="720" w:leader="none"/>
              </w:tabs>
              <w:bidi w:val="0"/>
              <w:spacing w:before="100" w:after="100"/>
              <w:rPr/>
            </w:pPr>
            <w:r>
              <w:rPr/>
              <w:t>Mitigation packages</w:t>
            </w:r>
          </w:p>
          <w:p>
            <w:pPr>
              <w:pStyle w:val="NormalWeb"/>
              <w:numPr>
                <w:ilvl w:val="0"/>
                <w:numId w:val="9"/>
              </w:numPr>
              <w:tabs>
                <w:tab w:val="left" w:pos="720" w:leader="none"/>
              </w:tabs>
              <w:bidi w:val="0"/>
              <w:spacing w:before="100" w:after="100"/>
              <w:rPr>
                <w:rFonts w:ascii="Times New Roman" w:hAnsi="Times New Roman"/>
              </w:rPr>
            </w:pPr>
            <w:r>
              <w:rPr/>
              <w:t>Public transport feasibility studies</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2 – Provide a Funded Transport Delivery Plan</w:t>
            </w:r>
          </w:p>
          <w:p>
            <w:pPr>
              <w:pStyle w:val="NormalWeb"/>
              <w:bidi w:val="0"/>
              <w:spacing w:before="100" w:after="100"/>
              <w:rPr>
                <w:rFonts w:ascii="Times New Roman" w:hAnsi="Times New Roman"/>
              </w:rPr>
            </w:pPr>
            <w:r>
              <w:rPr/>
              <w:t>The plan must include:</w:t>
            </w:r>
          </w:p>
          <w:p>
            <w:pPr>
              <w:pStyle w:val="NormalWeb"/>
              <w:numPr>
                <w:ilvl w:val="0"/>
                <w:numId w:val="10"/>
              </w:numPr>
              <w:tabs>
                <w:tab w:val="left" w:pos="720" w:leader="none"/>
              </w:tabs>
              <w:bidi w:val="0"/>
              <w:spacing w:before="100" w:after="100"/>
              <w:rPr/>
            </w:pPr>
            <w:r>
              <w:rPr/>
              <w:t>Funding sources</w:t>
            </w:r>
          </w:p>
          <w:p>
            <w:pPr>
              <w:pStyle w:val="NormalWeb"/>
              <w:numPr>
                <w:ilvl w:val="0"/>
                <w:numId w:val="10"/>
              </w:numPr>
              <w:tabs>
                <w:tab w:val="left" w:pos="720" w:leader="none"/>
              </w:tabs>
              <w:bidi w:val="0"/>
              <w:spacing w:before="100" w:after="100"/>
              <w:rPr/>
            </w:pPr>
            <w:r>
              <w:rPr/>
              <w:t>Delivery partners</w:t>
            </w:r>
          </w:p>
          <w:p>
            <w:pPr>
              <w:pStyle w:val="NormalWeb"/>
              <w:numPr>
                <w:ilvl w:val="0"/>
                <w:numId w:val="10"/>
              </w:numPr>
              <w:tabs>
                <w:tab w:val="left" w:pos="720" w:leader="none"/>
              </w:tabs>
              <w:bidi w:val="0"/>
              <w:spacing w:before="100" w:after="100"/>
              <w:rPr/>
            </w:pPr>
            <w:r>
              <w:rPr/>
              <w:t>Timelines</w:t>
            </w:r>
          </w:p>
          <w:p>
            <w:pPr>
              <w:pStyle w:val="NormalWeb"/>
              <w:numPr>
                <w:ilvl w:val="0"/>
                <w:numId w:val="10"/>
              </w:numPr>
              <w:tabs>
                <w:tab w:val="left" w:pos="720" w:leader="none"/>
              </w:tabs>
              <w:bidi w:val="0"/>
              <w:spacing w:before="100" w:after="100"/>
              <w:rPr/>
            </w:pPr>
            <w:r>
              <w:rPr/>
              <w:t>Responsibilities</w:t>
            </w:r>
          </w:p>
          <w:p>
            <w:pPr>
              <w:pStyle w:val="NormalWeb"/>
              <w:numPr>
                <w:ilvl w:val="0"/>
                <w:numId w:val="10"/>
              </w:numPr>
              <w:tabs>
                <w:tab w:val="left" w:pos="720" w:leader="none"/>
              </w:tabs>
              <w:bidi w:val="0"/>
              <w:spacing w:before="100" w:after="100"/>
              <w:rPr>
                <w:rFonts w:ascii="Times New Roman" w:hAnsi="Times New Roman"/>
              </w:rPr>
            </w:pPr>
            <w:r>
              <w:rPr/>
              <w:t>Risk management</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3 – Add Binding Phasing Triggers</w:t>
            </w:r>
          </w:p>
          <w:p>
            <w:pPr>
              <w:pStyle w:val="NormalWeb"/>
              <w:bidi w:val="0"/>
              <w:spacing w:before="100" w:after="100"/>
              <w:rPr>
                <w:rFonts w:ascii="Times New Roman" w:hAnsi="Times New Roman"/>
              </w:rPr>
            </w:pPr>
            <w:r>
              <w:rPr/>
              <w:t xml:space="preserve">Occupation of LMA must be </w:t>
            </w:r>
            <w:r>
              <w:rPr>
                <w:rStyle w:val="Strong"/>
                <w:lang w:val="en-GB" w:eastAsia="en-GB" w:bidi="ar-SA"/>
              </w:rPr>
              <w:t>prohibited</w:t>
            </w:r>
            <w:r>
              <w:rPr/>
              <w:t xml:space="preserve"> until:</w:t>
            </w:r>
          </w:p>
          <w:p>
            <w:pPr>
              <w:pStyle w:val="NormalWeb"/>
              <w:numPr>
                <w:ilvl w:val="0"/>
                <w:numId w:val="3"/>
              </w:numPr>
              <w:tabs>
                <w:tab w:val="left" w:pos="720" w:leader="none"/>
              </w:tabs>
              <w:bidi w:val="0"/>
              <w:spacing w:before="100" w:after="100"/>
              <w:ind w:hanging="360" w:left="720" w:right="0"/>
              <w:rPr>
                <w:rFonts w:ascii="Times New Roman" w:hAnsi="Times New Roman"/>
              </w:rPr>
            </w:pPr>
            <w:r>
              <w:rPr/>
              <w:t>Strategic road upgrades are delivered</w:t>
            </w:r>
          </w:p>
          <w:p>
            <w:pPr>
              <w:pStyle w:val="NormalWeb"/>
              <w:numPr>
                <w:ilvl w:val="0"/>
                <w:numId w:val="3"/>
              </w:numPr>
              <w:tabs>
                <w:tab w:val="left" w:pos="720" w:leader="none"/>
              </w:tabs>
              <w:bidi w:val="0"/>
              <w:spacing w:before="100" w:after="100"/>
              <w:ind w:hanging="360" w:left="720" w:right="0"/>
              <w:rPr>
                <w:rFonts w:ascii="Times New Roman" w:hAnsi="Times New Roman"/>
              </w:rPr>
            </w:pPr>
            <w:r>
              <w:rPr/>
              <w:t>Public transport corridors are operational</w:t>
            </w:r>
          </w:p>
          <w:p>
            <w:pPr>
              <w:pStyle w:val="NormalWeb"/>
              <w:numPr>
                <w:ilvl w:val="0"/>
                <w:numId w:val="3"/>
              </w:numPr>
              <w:tabs>
                <w:tab w:val="left" w:pos="720" w:leader="none"/>
              </w:tabs>
              <w:bidi w:val="0"/>
              <w:spacing w:before="100" w:after="100"/>
              <w:ind w:hanging="360" w:left="720" w:right="0"/>
              <w:rPr>
                <w:rFonts w:ascii="Times New Roman" w:hAnsi="Times New Roman"/>
              </w:rPr>
            </w:pPr>
            <w:r>
              <w:rPr/>
              <w:t>Active travel networks are complete</w:t>
            </w:r>
          </w:p>
          <w:p>
            <w:pPr>
              <w:pStyle w:val="NormalWeb"/>
              <w:numPr>
                <w:ilvl w:val="0"/>
                <w:numId w:val="3"/>
              </w:numPr>
              <w:tabs>
                <w:tab w:val="left" w:pos="720" w:leader="none"/>
              </w:tabs>
              <w:bidi w:val="0"/>
              <w:spacing w:before="100" w:after="100"/>
              <w:ind w:hanging="360" w:left="720" w:right="0"/>
              <w:rPr>
                <w:rFonts w:ascii="Times New Roman" w:hAnsi="Times New Roman"/>
              </w:rPr>
            </w:pPr>
            <w:r>
              <w:rPr/>
              <w:t>Junction improvements are in place</w:t>
            </w:r>
          </w:p>
          <w:p>
            <w:pPr>
              <w:pStyle w:val="Heading3"/>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Modification 4 – Reassess LMA’s Suitability</w:t>
            </w:r>
          </w:p>
          <w:p>
            <w:pPr>
              <w:pStyle w:val="NormalWeb"/>
              <w:bidi w:val="0"/>
              <w:spacing w:before="100" w:after="100"/>
              <w:rPr>
                <w:rFonts w:ascii="Times New Roman" w:hAnsi="Times New Roman"/>
              </w:rPr>
            </w:pPr>
            <w:r>
              <w:rPr/>
              <w:t xml:space="preserve">If modelling shows </w:t>
            </w:r>
            <w:r>
              <w:rPr>
                <w:rStyle w:val="Strong"/>
                <w:lang w:val="en-GB" w:eastAsia="en-GB" w:bidi="ar-SA"/>
              </w:rPr>
              <w:t>severe residual impacts</w:t>
            </w:r>
            <w:r>
              <w:rPr/>
              <w:t>, the allocation must be: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Reduced in scale</w:t>
            </w:r>
          </w:p>
          <w:p>
            <w:pPr>
              <w:pStyle w:val="NormalWeb"/>
              <w:numPr>
                <w:ilvl w:val="0"/>
                <w:numId w:val="4"/>
              </w:numPr>
              <w:tabs>
                <w:tab w:val="left" w:pos="720" w:leader="none"/>
              </w:tabs>
              <w:bidi w:val="0"/>
              <w:spacing w:before="100" w:after="100"/>
              <w:ind w:hanging="360" w:left="720" w:right="0"/>
              <w:rPr>
                <w:rFonts w:ascii="Times New Roman" w:hAnsi="Times New Roman"/>
              </w:rPr>
            </w:pPr>
            <w:r>
              <w:rPr/>
              <w:t>Rephased</w:t>
            </w:r>
          </w:p>
          <w:p>
            <w:pPr>
              <w:pStyle w:val="NormalWeb"/>
              <w:numPr>
                <w:ilvl w:val="0"/>
                <w:numId w:val="4"/>
              </w:numPr>
              <w:tabs>
                <w:tab w:val="left" w:pos="720" w:leader="none"/>
              </w:tabs>
              <w:bidi w:val="0"/>
              <w:spacing w:before="100" w:after="100"/>
              <w:ind w:hanging="360" w:left="720" w:right="0"/>
              <w:rPr>
                <w:rFonts w:ascii="Times New Roman" w:hAnsi="Times New Roman"/>
              </w:rPr>
            </w:pPr>
            <w:r>
              <w:rPr/>
              <w:t>Or replaced with less constrained alternatives</w:t>
            </w:r>
          </w:p>
          <w:p>
            <w:pPr>
              <w:pStyle w:val="Heading2"/>
              <w:bidi w:val="0"/>
              <w:spacing w:before="100" w:after="100"/>
              <w:ind w:hanging="0" w:left="0"/>
              <w:rPr>
                <w:rFonts w:ascii="Times New Roman" w:hAnsi="Times New Roman"/>
              </w:rPr>
            </w:pPr>
            <w:r>
              <w:rPr>
                <w:rStyle w:val="Strong"/>
                <w:rFonts w:ascii="Times New Roman" w:hAnsi="Times New Roman"/>
                <w:b w:val="false"/>
                <w:bCs w:val="false"/>
                <w:lang w:val="en-GB" w:eastAsia="en-GB" w:bidi="ar-SA"/>
              </w:rPr>
              <w:t>5. Conclusion</w:t>
            </w:r>
          </w:p>
          <w:p>
            <w:pPr>
              <w:pStyle w:val="NormalWeb"/>
              <w:bidi w:val="0"/>
              <w:spacing w:before="100" w:after="100"/>
              <w:rPr>
                <w:rFonts w:ascii="Times New Roman" w:hAnsi="Times New Roman"/>
              </w:rPr>
            </w:pPr>
            <w:r>
              <w:rPr/>
              <w:t xml:space="preserve">Proposal LMA is </w:t>
            </w:r>
            <w:r>
              <w:rPr>
                <w:rStyle w:val="Strong"/>
                <w:lang w:val="en-GB" w:eastAsia="en-GB" w:bidi="ar-SA"/>
              </w:rPr>
              <w:t>unsound</w:t>
            </w:r>
            <w:r>
              <w:rPr/>
              <w:t xml:space="preserve"> because:</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It is </w:t>
            </w:r>
            <w:r>
              <w:rPr>
                <w:rStyle w:val="Strong"/>
                <w:lang w:val="en-GB" w:eastAsia="en-GB" w:bidi="ar-SA"/>
              </w:rPr>
              <w:t>not justified</w:t>
            </w:r>
            <w:r>
              <w:rPr/>
              <w:t xml:space="preserve"> (no proportionate transport evidence)</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It is </w:t>
            </w:r>
            <w:r>
              <w:rPr>
                <w:rStyle w:val="Strong"/>
                <w:lang w:val="en-GB" w:eastAsia="en-GB" w:bidi="ar-SA"/>
              </w:rPr>
              <w:t>not effective</w:t>
            </w:r>
            <w:r>
              <w:rPr/>
              <w:t xml:space="preserve"> (no guaranteed delivery of strategic transport interventions)</w:t>
            </w:r>
          </w:p>
          <w:p>
            <w:pPr>
              <w:pStyle w:val="NormalWeb"/>
              <w:numPr>
                <w:ilvl w:val="0"/>
                <w:numId w:val="5"/>
              </w:numPr>
              <w:tabs>
                <w:tab w:val="left" w:pos="720" w:leader="none"/>
              </w:tabs>
              <w:bidi w:val="0"/>
              <w:spacing w:before="100" w:after="100"/>
              <w:ind w:hanging="360" w:left="720" w:right="0"/>
              <w:rPr>
                <w:rFonts w:ascii="Times New Roman" w:hAnsi="Times New Roman"/>
              </w:rPr>
            </w:pPr>
            <w:r>
              <w:rPr/>
              <w:t xml:space="preserve">It is </w:t>
            </w:r>
            <w:r>
              <w:rPr>
                <w:rStyle w:val="Strong"/>
                <w:lang w:val="en-GB" w:eastAsia="en-GB" w:bidi="ar-SA"/>
              </w:rPr>
              <w:t>not consistent with national policy</w:t>
            </w:r>
            <w:r>
              <w:rPr/>
              <w:t xml:space="preserve"> (NPPF §§104–110)</w:t>
            </w:r>
          </w:p>
          <w:p>
            <w:pPr>
              <w:pStyle w:val="NormalWeb"/>
              <w:bidi w:val="0"/>
              <w:spacing w:before="100" w:after="100"/>
              <w:rPr>
                <w:rFonts w:ascii="Times New Roman" w:hAnsi="Times New Roman"/>
              </w:rPr>
            </w:pPr>
            <w:r>
              <w:rPr/>
              <w:t>The requested modifications are necessary to ensure the plan meets the statutory tests of soundness.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56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56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56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233" w:type="dxa"/>
            <w:tcBorders>
              <w:right w:val="single" w:sz="8" w:space="0" w:color="000000"/>
            </w:tcBorders>
            <w:vAlign w:val="center"/>
          </w:tcPr>
          <w:p>
            <w:pPr>
              <w:pStyle w:val="Normal"/>
              <w:rPr>
                <w:rFonts w:ascii="Arial" w:hAnsi="Arial" w:cs="Arial"/>
              </w:rPr>
            </w:pPr>
            <w:r>
              <w:rPr>
                <w:rFonts w:cs="Arial" w:ascii="Arial" w:hAnsi="Arial"/>
              </w:rPr>
            </w:r>
          </w:p>
        </w:tc>
        <w:tc>
          <w:tcPr>
            <w:tcW w:w="1027"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77"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45"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86"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56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56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56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56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pStyle w:val="Heading3"/>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paragraph" w:styleId="NormalWeb">
    <w:name w:val="Normal (Web)"/>
    <w:basedOn w:val="Normal"/>
    <w:qFormat/>
    <w:pPr>
      <w:widowControl/>
      <w:spacing w:beforeAutospacing="1" w:afterAutospacing="1"/>
      <w:ind w:hanging="0" w:left="0" w:right="0"/>
      <w:jc w:val="left"/>
      <w:textAlignment w:val="auto"/>
    </w:pPr>
    <w:rPr>
      <w:rFonts w:cs="Times New Roman"/>
      <w:sz w:val="24"/>
      <w:szCs w:val="24"/>
      <w:lang w:val="en-GB" w:eastAsia="en-GB"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Application>LibreOffice/26.2.5.2$Windows_X86_64 LibreOffice_project/cd7284b4cbbfeb507e630c1aac019f4157393acb</Application>
  <AppVersion>15.0000</AppVersion>
  <Pages>7</Pages>
  <Words>1444</Words>
  <Characters>7856</Characters>
  <CharactersWithSpaces>9112</CharactersWithSpaces>
  <Paragraphs>171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2026-08-28T15:11:01Z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