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6"/>
        <w:gridCol w:w="1630"/>
        <w:gridCol w:w="674"/>
        <w:gridCol w:w="712"/>
        <w:gridCol w:w="283"/>
        <w:gridCol w:w="285"/>
        <w:gridCol w:w="1924"/>
        <w:gridCol w:w="1107"/>
        <w:gridCol w:w="269"/>
      </w:tblGrid>
      <w:tr>
        <w:trPr>
          <w:trHeight w:val="1104" w:hRule="atLeast"/>
          <w:cantSplit/>
        </w:trPr>
        <w:tc>
          <w:tcPr>
            <w:tcW w:w="2162"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8"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2" w:type="dxa"/>
            <w:gridSpan w:val="2"/>
            <w:vMerge w:val="continue"/>
            <w:tcBorders/>
            <w:vAlign w:val="bottom"/>
          </w:tcPr>
          <w:p>
            <w:pPr>
              <w:pStyle w:val="Normal"/>
              <w:ind w:firstLine="3" w:left="-3"/>
              <w:rPr>
                <w:rFonts w:ascii="Arial" w:hAnsi="Arial" w:cs="Arial"/>
              </w:rPr>
            </w:pPr>
            <w:r>
              <w:rPr>
                <w:rFonts w:cs="Arial" w:ascii="Arial" w:hAnsi="Arial"/>
              </w:rPr>
            </w:r>
          </w:p>
        </w:tc>
        <w:tc>
          <w:tcPr>
            <w:tcW w:w="5508"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2" w:type="dxa"/>
            <w:gridSpan w:val="2"/>
            <w:vMerge w:val="continue"/>
            <w:tcBorders/>
            <w:vAlign w:val="bottom"/>
          </w:tcPr>
          <w:p>
            <w:pPr>
              <w:pStyle w:val="Normal"/>
              <w:ind w:firstLine="3" w:left="-3"/>
              <w:rPr>
                <w:rFonts w:ascii="Arial" w:hAnsi="Arial" w:cs="Arial"/>
              </w:rPr>
            </w:pPr>
            <w:r>
              <w:rPr>
                <w:rFonts w:cs="Arial" w:ascii="Arial" w:hAnsi="Arial"/>
              </w:rPr>
            </w:r>
          </w:p>
        </w:tc>
        <w:tc>
          <w:tcPr>
            <w:tcW w:w="5508"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2" w:type="dxa"/>
            <w:tcBorders>
              <w:top w:val="double" w:sz="4" w:space="0" w:color="000000"/>
            </w:tcBorders>
            <w:vAlign w:val="bottom"/>
          </w:tcPr>
          <w:p>
            <w:pPr>
              <w:pStyle w:val="BodyText"/>
              <w:rPr>
                <w:rFonts w:ascii="Arial" w:hAnsi="Arial" w:cs="Arial"/>
              </w:rPr>
            </w:pPr>
            <w:r>
              <w:rPr>
                <w:rFonts w:cs="Arial" w:ascii="Arial" w:hAnsi="Arial"/>
              </w:rPr>
            </w:r>
          </w:p>
        </w:tc>
        <w:tc>
          <w:tcPr>
            <w:tcW w:w="283"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SO.3</w:t>
            </w:r>
          </w:p>
          <w:p>
            <w:pPr>
              <w:pStyle w:val="Normal"/>
              <w:rPr>
                <w:rFonts w:ascii="Arial" w:hAnsi="Arial" w:cs="Arial"/>
              </w:rPr>
            </w:pPr>
            <w:r>
              <w:rPr>
                <w:rFonts w:cs="Arial" w:ascii="Arial" w:hAnsi="Arial"/>
              </w:rPr>
              <w:t>SO.9</w:t>
            </w:r>
          </w:p>
          <w:p>
            <w:pPr>
              <w:pStyle w:val="Normal"/>
              <w:rPr>
                <w:rFonts w:ascii="Arial" w:hAnsi="Arial" w:cs="Arial"/>
              </w:rPr>
            </w:pPr>
            <w:r>
              <w:rPr>
                <w:rFonts w:cs="Arial" w:ascii="Arial" w:hAnsi="Arial"/>
              </w:rPr>
              <w:t>ID.4</w:t>
            </w:r>
          </w:p>
          <w:p>
            <w:pPr>
              <w:pStyle w:val="Normal"/>
              <w:rPr>
                <w:rFonts w:ascii="Arial" w:hAnsi="Arial" w:cs="Arial"/>
              </w:rPr>
            </w:pPr>
            <w:r>
              <w:rPr>
                <w:rFonts w:cs="Arial" w:ascii="Arial" w:hAnsi="Arial"/>
              </w:rPr>
              <w:t>ID.5</w:t>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Regulation 19 Representation – Transport–Employment Unsoundness (Proposal LMA)</w:t>
            </w:r>
          </w:p>
          <w:p>
            <w:pPr>
              <w:pStyle w:val="NormalWeb"/>
              <w:bidi w:val="0"/>
              <w:spacing w:before="100" w:after="100"/>
              <w:rPr>
                <w:rFonts w:ascii="Times New Roman" w:hAnsi="Times New Roman"/>
              </w:rPr>
            </w:pPr>
            <w:r>
              <w:rPr>
                <w:rStyle w:val="Strong"/>
                <w:lang w:val="en-GB" w:eastAsia="en-GB" w:bidi="ar-SA"/>
              </w:rPr>
              <w:t>Tests of Soundness: Not Justified • Not Effective • Not Consistent with National Policy (NPPF §31, §35, §104–110)</w:t>
            </w:r>
            <w:r>
              <w:rPr/>
              <w:t xml:space="preserve"> Ref: </w:t>
            </w:r>
            <w:r>
              <w:rPr>
                <w:rStyle w:val="Emphasis"/>
                <w:lang w:val="en-GB" w:eastAsia="en-GB" w:bidi="ar-SA"/>
              </w:rPr>
              <w:t>SWLP Reg 19 Publication Version</w:t>
            </w:r>
          </w:p>
          <w:p>
            <w:pPr>
              <w:pStyle w:val="Heading2"/>
              <w:numPr>
                <w:ilvl w:val="1"/>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because the SWLP Reg 19 Publication Version provides </w:t>
            </w:r>
            <w:r>
              <w:rPr>
                <w:rStyle w:val="Strong"/>
                <w:lang w:val="en-GB" w:eastAsia="en-GB" w:bidi="ar-SA"/>
              </w:rPr>
              <w:t>no evidence</w:t>
            </w:r>
            <w:r>
              <w:rPr/>
              <w:t xml:space="preserve"> that LMA has a sustainable transport relationship with major employment centres.</w:t>
            </w:r>
          </w:p>
          <w:p>
            <w:pPr>
              <w:pStyle w:val="NormalWeb"/>
              <w:bidi w:val="0"/>
              <w:spacing w:before="100" w:after="100"/>
              <w:rPr>
                <w:rFonts w:ascii="Times New Roman" w:hAnsi="Times New Roman"/>
              </w:rPr>
            </w:pPr>
            <w:r>
              <w:rPr/>
              <w:t>The plan fails to demonstrate:</w:t>
            </w:r>
          </w:p>
          <w:p>
            <w:pPr>
              <w:pStyle w:val="NormalWeb"/>
              <w:numPr>
                <w:ilvl w:val="0"/>
                <w:numId w:val="16"/>
              </w:numPr>
              <w:tabs>
                <w:tab w:val="left" w:pos="720" w:leader="none"/>
              </w:tabs>
              <w:bidi w:val="0"/>
              <w:spacing w:before="100" w:after="0"/>
              <w:ind w:hanging="360" w:left="720" w:right="0"/>
              <w:rPr/>
            </w:pPr>
            <w:r>
              <w:rPr/>
              <w:t>how residents will access jobs,</w:t>
            </w:r>
          </w:p>
          <w:p>
            <w:pPr>
              <w:pStyle w:val="NormalWeb"/>
              <w:numPr>
                <w:ilvl w:val="0"/>
                <w:numId w:val="16"/>
              </w:numPr>
              <w:tabs>
                <w:tab w:val="left" w:pos="720" w:leader="none"/>
              </w:tabs>
              <w:bidi w:val="0"/>
              <w:spacing w:before="0" w:after="0"/>
              <w:ind w:hanging="360" w:left="720" w:right="0"/>
              <w:rPr/>
            </w:pPr>
            <w:r>
              <w:rPr/>
              <w:t>how commuting patterns will be supported,</w:t>
            </w:r>
          </w:p>
          <w:p>
            <w:pPr>
              <w:pStyle w:val="NormalWeb"/>
              <w:numPr>
                <w:ilvl w:val="0"/>
                <w:numId w:val="16"/>
              </w:numPr>
              <w:tabs>
                <w:tab w:val="left" w:pos="720" w:leader="none"/>
              </w:tabs>
              <w:bidi w:val="0"/>
              <w:spacing w:before="0" w:after="0"/>
              <w:ind w:hanging="360" w:left="720" w:right="0"/>
              <w:rPr/>
            </w:pPr>
            <w:r>
              <w:rPr/>
              <w:t>how transport infrastructure will cope,</w:t>
            </w:r>
          </w:p>
          <w:p>
            <w:pPr>
              <w:pStyle w:val="NormalWeb"/>
              <w:numPr>
                <w:ilvl w:val="0"/>
                <w:numId w:val="16"/>
              </w:numPr>
              <w:tabs>
                <w:tab w:val="left" w:pos="720" w:leader="none"/>
              </w:tabs>
              <w:bidi w:val="0"/>
              <w:spacing w:before="0" w:after="100"/>
              <w:ind w:hanging="360" w:left="720" w:right="0"/>
              <w:rPr>
                <w:rFonts w:ascii="Times New Roman" w:hAnsi="Times New Roman"/>
              </w:rPr>
            </w:pPr>
            <w:r>
              <w:rPr/>
              <w:t>how LMA aligns with the economic geography described in the SWLP evidence.</w:t>
            </w:r>
          </w:p>
          <w:p>
            <w:pPr>
              <w:pStyle w:val="NormalWeb"/>
              <w:bidi w:val="0"/>
              <w:spacing w:before="100" w:after="100"/>
              <w:rPr>
                <w:rFonts w:ascii="Times New Roman" w:hAnsi="Times New Roman"/>
              </w:rPr>
            </w:pPr>
            <w:r>
              <w:rPr/>
              <w:t xml:space="preserve">This omission renders the allocation </w:t>
            </w:r>
            <w:r>
              <w:rPr>
                <w:rStyle w:val="Strong"/>
                <w:lang w:val="en-GB" w:eastAsia="en-GB" w:bidi="ar-SA"/>
              </w:rPr>
              <w:t>unsound</w:t>
            </w:r>
            <w:r>
              <w:rPr/>
              <w:t>.</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What the SWLP says about employment geography</w:t>
            </w:r>
          </w:p>
          <w:p>
            <w:pPr>
              <w:pStyle w:val="NormalWeb"/>
              <w:bidi w:val="0"/>
              <w:spacing w:before="100" w:after="100"/>
              <w:rPr>
                <w:rFonts w:ascii="Times New Roman" w:hAnsi="Times New Roman"/>
              </w:rPr>
            </w:pPr>
            <w:r>
              <w:rPr/>
              <w:t>The Reg 19 document states that South Warwickshire’s strongest economic relationships are with:</w:t>
            </w:r>
          </w:p>
          <w:p>
            <w:pPr>
              <w:pStyle w:val="NormalWeb"/>
              <w:numPr>
                <w:ilvl w:val="0"/>
                <w:numId w:val="19"/>
              </w:numPr>
              <w:tabs>
                <w:tab w:val="left" w:pos="720" w:leader="none"/>
              </w:tabs>
              <w:bidi w:val="0"/>
              <w:spacing w:before="100" w:after="0"/>
              <w:rPr/>
            </w:pPr>
            <w:r>
              <w:rPr>
                <w:rStyle w:val="Strong"/>
                <w:lang w:val="en-GB" w:eastAsia="en-GB" w:bidi="ar-SA"/>
              </w:rPr>
              <w:t>Coventry</w:t>
            </w:r>
            <w:r>
              <w:rPr/>
              <w:t>,</w:t>
            </w:r>
          </w:p>
          <w:p>
            <w:pPr>
              <w:pStyle w:val="NormalWeb"/>
              <w:numPr>
                <w:ilvl w:val="0"/>
                <w:numId w:val="19"/>
              </w:numPr>
              <w:tabs>
                <w:tab w:val="left" w:pos="720" w:leader="none"/>
              </w:tabs>
              <w:bidi w:val="0"/>
              <w:spacing w:before="0" w:after="0"/>
              <w:rPr/>
            </w:pPr>
            <w:r>
              <w:rPr>
                <w:rStyle w:val="Strong"/>
                <w:lang w:val="en-GB" w:eastAsia="en-GB" w:bidi="ar-SA"/>
              </w:rPr>
              <w:t>Warwick</w:t>
            </w:r>
            <w:r>
              <w:rPr/>
              <w:t>,</w:t>
            </w:r>
          </w:p>
          <w:p>
            <w:pPr>
              <w:pStyle w:val="NormalWeb"/>
              <w:numPr>
                <w:ilvl w:val="0"/>
                <w:numId w:val="19"/>
              </w:numPr>
              <w:tabs>
                <w:tab w:val="left" w:pos="720" w:leader="none"/>
              </w:tabs>
              <w:bidi w:val="0"/>
              <w:spacing w:before="0" w:after="0"/>
              <w:rPr/>
            </w:pPr>
            <w:r>
              <w:rPr>
                <w:rStyle w:val="Strong"/>
                <w:lang w:val="en-GB" w:eastAsia="en-GB" w:bidi="ar-SA"/>
              </w:rPr>
              <w:t>Leamington Spa</w:t>
            </w:r>
            <w:r>
              <w:rPr/>
              <w:t>,</w:t>
            </w:r>
          </w:p>
          <w:p>
            <w:pPr>
              <w:pStyle w:val="NormalWeb"/>
              <w:numPr>
                <w:ilvl w:val="0"/>
                <w:numId w:val="19"/>
              </w:numPr>
              <w:tabs>
                <w:tab w:val="left" w:pos="720" w:leader="none"/>
              </w:tabs>
              <w:bidi w:val="0"/>
              <w:spacing w:before="0" w:after="100"/>
              <w:rPr>
                <w:rFonts w:ascii="Times New Roman" w:hAnsi="Times New Roman"/>
              </w:rPr>
            </w:pPr>
            <w:r>
              <w:rPr>
                <w:rStyle w:val="Strong"/>
                <w:lang w:val="en-GB" w:eastAsia="en-GB" w:bidi="ar-SA"/>
              </w:rPr>
              <w:t>Stratford</w:t>
              <w:noBreakHyphen/>
              <w:t>upon</w:t>
              <w:noBreakHyphen/>
              <w:t>Avon</w:t>
            </w:r>
            <w:r>
              <w:rPr/>
              <w:t>,</w:t>
            </w:r>
          </w:p>
          <w:p>
            <w:pPr>
              <w:pStyle w:val="NormalWeb"/>
              <w:bidi w:val="0"/>
              <w:spacing w:before="100" w:after="100"/>
              <w:rPr>
                <w:rFonts w:ascii="Times New Roman" w:hAnsi="Times New Roman"/>
              </w:rPr>
            </w:pPr>
            <w:r>
              <w:rPr>
                <w:rStyle w:val="Strong"/>
                <w:b w:val="false"/>
                <w:bCs w:val="false"/>
                <w:lang w:val="en-GB" w:eastAsia="en-GB" w:bidi="ar-SA"/>
              </w:rPr>
              <w:t>with further links to Birmingham</w:t>
            </w:r>
            <w:r>
              <w:rPr>
                <w:b w:val="false"/>
                <w:bCs w:val="false"/>
              </w:rPr>
              <w:t xml:space="preserve">. </w:t>
            </w:r>
            <w:r>
              <w:rPr/>
              <w:t xml:space="preserve">These centres are all </w:t>
            </w:r>
            <w:r>
              <w:rPr>
                <w:rStyle w:val="Strong"/>
                <w:lang w:val="en-GB" w:eastAsia="en-GB" w:bidi="ar-SA"/>
              </w:rPr>
              <w:t>north or north</w:t>
              <w:noBreakHyphen/>
              <w:t>east</w:t>
            </w:r>
            <w:r>
              <w:rPr/>
              <w:t xml:space="preserve"> of Stratford District.</w:t>
            </w:r>
          </w:p>
          <w:p>
            <w:pPr>
              <w:pStyle w:val="NormalWeb"/>
              <w:bidi w:val="0"/>
              <w:spacing w:before="100" w:after="100"/>
              <w:rPr>
                <w:rFonts w:ascii="Times New Roman" w:hAnsi="Times New Roman"/>
              </w:rPr>
            </w:pPr>
            <w:r>
              <w:rPr/>
              <w:t xml:space="preserve">LMA is located in the </w:t>
            </w:r>
            <w:r>
              <w:rPr>
                <w:rStyle w:val="Strong"/>
                <w:lang w:val="en-GB" w:eastAsia="en-GB" w:bidi="ar-SA"/>
              </w:rPr>
              <w:t>south</w:t>
              <w:noBreakHyphen/>
              <w:t>west corner</w:t>
            </w:r>
            <w:r>
              <w:rPr/>
              <w:t xml:space="preserve"> of the district, </w:t>
            </w:r>
            <w:r>
              <w:rPr>
                <w:rStyle w:val="Strong"/>
                <w:lang w:val="en-GB" w:eastAsia="en-GB" w:bidi="ar-SA"/>
              </w:rPr>
              <w:t>furthest from all major employment centres</w:t>
            </w:r>
            <w:r>
              <w:rPr/>
              <w:t>.</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Distances from LMA to major employment centres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Stratford-upon-Avon</w:t>
            </w:r>
          </w:p>
          <w:p>
            <w:pPr>
              <w:pStyle w:val="NormalWeb"/>
              <w:bidi w:val="0"/>
              <w:spacing w:before="100" w:after="100"/>
              <w:rPr>
                <w:rFonts w:ascii="Times New Roman" w:hAnsi="Times New Roman"/>
              </w:rPr>
            </w:pPr>
            <w:r>
              <w:rPr/>
              <w:t>6–7 miles No rail link, limited bus services, rural roads only.</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Warwick / Leamington Spa</w:t>
            </w:r>
          </w:p>
          <w:p>
            <w:pPr>
              <w:pStyle w:val="NormalWeb"/>
              <w:bidi w:val="0"/>
              <w:spacing w:before="100" w:after="100"/>
              <w:rPr>
                <w:rFonts w:ascii="Times New Roman" w:hAnsi="Times New Roman"/>
              </w:rPr>
            </w:pPr>
            <w:r>
              <w:rPr/>
              <w:t>14–18 miles No rail link, long rural commute, A46 congestion, limited bus services (no direct service).</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Coventry</w:t>
            </w:r>
          </w:p>
          <w:p>
            <w:pPr>
              <w:pStyle w:val="NormalWeb"/>
              <w:bidi w:val="0"/>
              <w:spacing w:before="100" w:after="100"/>
              <w:rPr>
                <w:rFonts w:ascii="Times New Roman" w:hAnsi="Times New Roman"/>
              </w:rPr>
            </w:pPr>
            <w:r>
              <w:rPr/>
              <w:t>20–25 miles No rail link, no direct bus, no strategic corridor, A46 congestion.</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Evesham (cross</w:t>
              <w:noBreakHyphen/>
              <w:t>border)</w:t>
            </w:r>
          </w:p>
          <w:p>
            <w:pPr>
              <w:pStyle w:val="NormalWeb"/>
              <w:bidi w:val="0"/>
              <w:spacing w:before="100" w:after="100"/>
              <w:rPr>
                <w:rFonts w:ascii="Times New Roman" w:hAnsi="Times New Roman"/>
              </w:rPr>
            </w:pPr>
            <w:r>
              <w:rPr/>
              <w:t>5–6 miles No cooperation with Wychavon, no strategic modelling.</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Birmingham</w:t>
            </w:r>
          </w:p>
          <w:p>
            <w:pPr>
              <w:pStyle w:val="NormalWeb"/>
              <w:bidi w:val="0"/>
              <w:spacing w:before="100" w:after="100"/>
              <w:rPr>
                <w:rFonts w:ascii="Times New Roman" w:hAnsi="Times New Roman"/>
              </w:rPr>
            </w:pPr>
            <w:r>
              <w:rPr/>
              <w:t>25–35 miles SWLP states functional links are weak, however Birmingham and Solihull still create retail and entertainment related journeys.</w:t>
            </w:r>
          </w:p>
          <w:p>
            <w:pPr>
              <w:pStyle w:val="NormalWeb"/>
              <w:bidi w:val="0"/>
              <w:spacing w:before="100" w:after="100"/>
              <w:rPr>
                <w:rFonts w:ascii="Times New Roman" w:hAnsi="Times New Roman"/>
              </w:rPr>
            </w:pPr>
            <w:r>
              <w:rPr/>
              <w:t xml:space="preserve">These distances are </w:t>
            </w:r>
            <w:r>
              <w:rPr>
                <w:rStyle w:val="Strong"/>
                <w:lang w:val="en-GB" w:eastAsia="en-GB" w:bidi="ar-SA"/>
              </w:rPr>
              <w:t>incompatible with sustainable transport</w:t>
            </w:r>
            <w:r>
              <w:rPr/>
              <w:t>, especially for a 4,000+ home settlement.</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Transport constraints that prevent access to employment</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A. No rail station</w:t>
            </w:r>
          </w:p>
          <w:p>
            <w:pPr>
              <w:pStyle w:val="NormalWeb"/>
              <w:bidi w:val="0"/>
              <w:spacing w:before="100" w:after="100"/>
              <w:rPr>
                <w:rFonts w:ascii="Times New Roman" w:hAnsi="Times New Roman"/>
              </w:rPr>
            </w:pPr>
            <w:r>
              <w:rPr/>
              <w:t xml:space="preserve">LMA is </w:t>
            </w:r>
            <w:r>
              <w:rPr>
                <w:rStyle w:val="Strong"/>
                <w:lang w:val="en-GB" w:eastAsia="en-GB" w:bidi="ar-SA"/>
              </w:rPr>
              <w:t>not rail</w:t>
              <w:noBreakHyphen/>
              <w:t>served</w:t>
            </w:r>
            <w:r>
              <w:rPr/>
              <w:t>. The nearest stations (Stratford, Honeybourne) are:</w:t>
            </w:r>
          </w:p>
          <w:p>
            <w:pPr>
              <w:pStyle w:val="NormalWeb"/>
              <w:numPr>
                <w:ilvl w:val="0"/>
                <w:numId w:val="3"/>
              </w:numPr>
              <w:tabs>
                <w:tab w:val="left" w:pos="720" w:leader="none"/>
              </w:tabs>
              <w:bidi w:val="0"/>
              <w:spacing w:before="100" w:after="0"/>
              <w:ind w:hanging="360" w:left="720" w:right="0"/>
              <w:rPr>
                <w:rFonts w:ascii="Times New Roman" w:hAnsi="Times New Roman"/>
              </w:rPr>
            </w:pPr>
            <w:r>
              <w:rPr/>
              <w:t>too far to regularly walk or cycle for commuting,</w:t>
            </w:r>
          </w:p>
          <w:p>
            <w:pPr>
              <w:pStyle w:val="NormalWeb"/>
              <w:numPr>
                <w:ilvl w:val="0"/>
                <w:numId w:val="3"/>
              </w:numPr>
              <w:tabs>
                <w:tab w:val="left" w:pos="720" w:leader="none"/>
              </w:tabs>
              <w:bidi w:val="0"/>
              <w:spacing w:before="0" w:after="0"/>
              <w:ind w:hanging="360" w:left="720" w:right="0"/>
              <w:rPr>
                <w:rFonts w:ascii="Times New Roman" w:hAnsi="Times New Roman"/>
              </w:rPr>
            </w:pPr>
            <w:r>
              <w:rPr/>
              <w:t>not connected by direct bus routes,</w:t>
            </w:r>
          </w:p>
          <w:p>
            <w:pPr>
              <w:pStyle w:val="NormalWeb"/>
              <w:numPr>
                <w:ilvl w:val="0"/>
                <w:numId w:val="3"/>
              </w:numPr>
              <w:tabs>
                <w:tab w:val="left" w:pos="720" w:leader="none"/>
              </w:tabs>
              <w:bidi w:val="0"/>
              <w:spacing w:before="0" w:after="0"/>
              <w:ind w:hanging="360" w:left="720" w:right="0"/>
              <w:rPr>
                <w:rFonts w:ascii="Times New Roman" w:hAnsi="Times New Roman"/>
              </w:rPr>
            </w:pPr>
            <w:r>
              <w:rPr/>
              <w:t>not linked by safe active travel routes.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B. No strategic road corridor</w:t>
            </w:r>
          </w:p>
          <w:p>
            <w:pPr>
              <w:pStyle w:val="NormalWeb"/>
              <w:bidi w:val="0"/>
              <w:spacing w:before="100" w:after="100"/>
              <w:rPr>
                <w:rFonts w:ascii="Times New Roman" w:hAnsi="Times New Roman"/>
              </w:rPr>
            </w:pPr>
            <w:r>
              <w:rPr/>
              <w:t>LMA relies on:</w:t>
            </w:r>
          </w:p>
          <w:p>
            <w:pPr>
              <w:pStyle w:val="NormalWeb"/>
              <w:numPr>
                <w:ilvl w:val="0"/>
                <w:numId w:val="4"/>
              </w:numPr>
              <w:tabs>
                <w:tab w:val="left" w:pos="720" w:leader="none"/>
              </w:tabs>
              <w:bidi w:val="0"/>
              <w:spacing w:before="100" w:after="0"/>
              <w:ind w:hanging="360" w:left="720" w:right="0"/>
              <w:rPr>
                <w:rFonts w:ascii="Times New Roman" w:hAnsi="Times New Roman"/>
              </w:rPr>
            </w:pPr>
            <w:r>
              <w:rPr>
                <w:rStyle w:val="Strong"/>
                <w:lang w:val="en-GB" w:eastAsia="en-GB" w:bidi="ar-SA"/>
              </w:rPr>
              <w:t>B4632</w:t>
            </w:r>
            <w:r>
              <w:rPr/>
              <w:t>,</w:t>
            </w:r>
          </w:p>
          <w:p>
            <w:pPr>
              <w:pStyle w:val="NormalWeb"/>
              <w:numPr>
                <w:ilvl w:val="0"/>
                <w:numId w:val="4"/>
              </w:numPr>
              <w:tabs>
                <w:tab w:val="left" w:pos="720" w:leader="none"/>
              </w:tabs>
              <w:bidi w:val="0"/>
              <w:spacing w:before="0" w:after="0"/>
              <w:ind w:hanging="360" w:left="720" w:right="0"/>
              <w:rPr>
                <w:rFonts w:ascii="Times New Roman" w:hAnsi="Times New Roman"/>
              </w:rPr>
            </w:pPr>
            <w:r>
              <w:rPr>
                <w:rStyle w:val="Strong"/>
                <w:lang w:val="en-GB" w:eastAsia="en-GB" w:bidi="ar-SA"/>
              </w:rPr>
              <w:t>Campden Road</w:t>
            </w:r>
            <w:r>
              <w:rPr/>
              <w:t>,</w:t>
            </w:r>
          </w:p>
          <w:p>
            <w:pPr>
              <w:pStyle w:val="NormalWeb"/>
              <w:numPr>
                <w:ilvl w:val="0"/>
                <w:numId w:val="4"/>
              </w:numPr>
              <w:tabs>
                <w:tab w:val="left" w:pos="720" w:leader="none"/>
              </w:tabs>
              <w:bidi w:val="0"/>
              <w:spacing w:before="0" w:after="0"/>
              <w:ind w:hanging="360" w:left="720" w:right="0"/>
              <w:rPr>
                <w:rFonts w:ascii="Times New Roman" w:hAnsi="Times New Roman"/>
              </w:rPr>
            </w:pPr>
            <w:r>
              <w:rPr>
                <w:rStyle w:val="Strong"/>
                <w:lang w:val="en-GB" w:eastAsia="en-GB" w:bidi="ar-SA"/>
              </w:rPr>
              <w:t>rural lanes</w:t>
            </w:r>
            <w:r>
              <w:rPr/>
              <w:t>,</w:t>
            </w:r>
          </w:p>
          <w:p>
            <w:pPr>
              <w:pStyle w:val="NormalWeb"/>
              <w:numPr>
                <w:ilvl w:val="0"/>
                <w:numId w:val="4"/>
              </w:numPr>
              <w:tabs>
                <w:tab w:val="left" w:pos="720" w:leader="none"/>
              </w:tabs>
              <w:bidi w:val="0"/>
              <w:spacing w:before="0" w:after="100"/>
              <w:ind w:hanging="360" w:left="720" w:right="0"/>
              <w:rPr>
                <w:rFonts w:ascii="Times New Roman" w:hAnsi="Times New Roman"/>
              </w:rPr>
            </w:pPr>
            <w:r>
              <w:rPr>
                <w:rStyle w:val="Strong"/>
                <w:lang w:val="en-GB" w:eastAsia="en-GB" w:bidi="ar-SA"/>
              </w:rPr>
              <w:t>Stratford’s southern approaches</w:t>
            </w:r>
            <w:r>
              <w:rPr/>
              <w:t>.</w:t>
            </w:r>
          </w:p>
          <w:p>
            <w:pPr>
              <w:pStyle w:val="NormalWeb"/>
              <w:bidi w:val="0"/>
              <w:spacing w:before="100" w:after="100"/>
              <w:rPr>
                <w:rFonts w:ascii="Times New Roman" w:hAnsi="Times New Roman"/>
              </w:rPr>
            </w:pPr>
            <w:r>
              <w:rPr/>
              <w:t>These roads:</w:t>
            </w:r>
          </w:p>
          <w:p>
            <w:pPr>
              <w:pStyle w:val="NormalWeb"/>
              <w:numPr>
                <w:ilvl w:val="0"/>
                <w:numId w:val="5"/>
              </w:numPr>
              <w:tabs>
                <w:tab w:val="left" w:pos="720" w:leader="none"/>
              </w:tabs>
              <w:bidi w:val="0"/>
              <w:spacing w:before="100" w:after="0"/>
              <w:ind w:hanging="360" w:left="720" w:right="0"/>
              <w:rPr>
                <w:rFonts w:ascii="Times New Roman" w:hAnsi="Times New Roman"/>
              </w:rPr>
            </w:pPr>
            <w:r>
              <w:rPr/>
              <w:t>are narrow,</w:t>
            </w:r>
          </w:p>
          <w:p>
            <w:pPr>
              <w:pStyle w:val="NormalWeb"/>
              <w:numPr>
                <w:ilvl w:val="0"/>
                <w:numId w:val="5"/>
              </w:numPr>
              <w:tabs>
                <w:tab w:val="left" w:pos="720" w:leader="none"/>
              </w:tabs>
              <w:bidi w:val="0"/>
              <w:spacing w:before="0" w:after="0"/>
              <w:ind w:hanging="360" w:left="720" w:right="0"/>
              <w:rPr>
                <w:rFonts w:ascii="Times New Roman" w:hAnsi="Times New Roman"/>
              </w:rPr>
            </w:pPr>
            <w:r>
              <w:rPr/>
              <w:t>already congested,</w:t>
            </w:r>
          </w:p>
          <w:p>
            <w:pPr>
              <w:pStyle w:val="NormalWeb"/>
              <w:numPr>
                <w:ilvl w:val="0"/>
                <w:numId w:val="5"/>
              </w:numPr>
              <w:tabs>
                <w:tab w:val="left" w:pos="720" w:leader="none"/>
              </w:tabs>
              <w:bidi w:val="0"/>
              <w:spacing w:before="0" w:after="0"/>
              <w:ind w:hanging="360" w:left="720" w:right="0"/>
              <w:rPr>
                <w:rFonts w:ascii="Times New Roman" w:hAnsi="Times New Roman"/>
              </w:rPr>
            </w:pPr>
            <w:r>
              <w:rPr/>
              <w:t>potentially at risk due to Clopton Bridge,</w:t>
            </w:r>
          </w:p>
          <w:p>
            <w:pPr>
              <w:pStyle w:val="NormalWeb"/>
              <w:numPr>
                <w:ilvl w:val="0"/>
                <w:numId w:val="5"/>
              </w:numPr>
              <w:tabs>
                <w:tab w:val="left" w:pos="720" w:leader="none"/>
              </w:tabs>
              <w:bidi w:val="0"/>
              <w:spacing w:before="0" w:after="0"/>
              <w:ind w:hanging="360" w:left="720" w:right="0"/>
              <w:rPr>
                <w:rFonts w:ascii="Times New Roman" w:hAnsi="Times New Roman"/>
              </w:rPr>
            </w:pPr>
            <w:r>
              <w:rPr/>
              <w:t>not designed for strategic commuting flows.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 No high</w:t>
              <w:noBreakHyphen/>
              <w:t>frequency bus network</w:t>
            </w:r>
          </w:p>
          <w:p>
            <w:pPr>
              <w:pStyle w:val="NormalWeb"/>
              <w:bidi w:val="0"/>
              <w:spacing w:before="100" w:after="100"/>
              <w:rPr>
                <w:rFonts w:ascii="Times New Roman" w:hAnsi="Times New Roman"/>
              </w:rPr>
            </w:pPr>
            <w:r>
              <w:rPr/>
              <w:t>There is:</w:t>
            </w:r>
          </w:p>
          <w:p>
            <w:pPr>
              <w:pStyle w:val="NormalWeb"/>
              <w:numPr>
                <w:ilvl w:val="0"/>
                <w:numId w:val="6"/>
              </w:numPr>
              <w:tabs>
                <w:tab w:val="left" w:pos="720" w:leader="none"/>
              </w:tabs>
              <w:bidi w:val="0"/>
              <w:spacing w:before="100" w:after="0"/>
              <w:ind w:hanging="360" w:left="720" w:right="0"/>
              <w:rPr>
                <w:rFonts w:ascii="Times New Roman" w:hAnsi="Times New Roman"/>
              </w:rPr>
            </w:pPr>
            <w:r>
              <w:rPr/>
              <w:t>no mass transit,</w:t>
            </w:r>
          </w:p>
          <w:p>
            <w:pPr>
              <w:pStyle w:val="NormalWeb"/>
              <w:numPr>
                <w:ilvl w:val="0"/>
                <w:numId w:val="6"/>
              </w:numPr>
              <w:tabs>
                <w:tab w:val="left" w:pos="720" w:leader="none"/>
              </w:tabs>
              <w:bidi w:val="0"/>
              <w:spacing w:before="0" w:after="0"/>
              <w:ind w:hanging="360" w:left="720" w:right="0"/>
              <w:rPr>
                <w:rFonts w:ascii="Times New Roman" w:hAnsi="Times New Roman"/>
              </w:rPr>
            </w:pPr>
            <w:r>
              <w:rPr/>
              <w:t>no rapid bus corridor,</w:t>
            </w:r>
          </w:p>
          <w:p>
            <w:pPr>
              <w:pStyle w:val="NormalWeb"/>
              <w:numPr>
                <w:ilvl w:val="0"/>
                <w:numId w:val="6"/>
              </w:numPr>
              <w:tabs>
                <w:tab w:val="left" w:pos="720" w:leader="none"/>
              </w:tabs>
              <w:bidi w:val="0"/>
              <w:spacing w:before="0" w:after="0"/>
              <w:ind w:hanging="360" w:left="720" w:right="0"/>
              <w:rPr>
                <w:rFonts w:ascii="Times New Roman" w:hAnsi="Times New Roman"/>
              </w:rPr>
            </w:pPr>
            <w:r>
              <w:rPr/>
              <w:t>no employment</w:t>
              <w:noBreakHyphen/>
              <w:t>linked bus strategy.</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D. No active travel network</w:t>
            </w:r>
          </w:p>
          <w:p>
            <w:pPr>
              <w:pStyle w:val="NormalWeb"/>
              <w:bidi w:val="0"/>
              <w:spacing w:before="100" w:after="100"/>
              <w:rPr>
                <w:rFonts w:ascii="Times New Roman" w:hAnsi="Times New Roman"/>
              </w:rPr>
            </w:pPr>
            <w:r>
              <w:rPr/>
              <w:t>There are:</w:t>
            </w:r>
          </w:p>
          <w:p>
            <w:pPr>
              <w:pStyle w:val="NormalWeb"/>
              <w:numPr>
                <w:ilvl w:val="0"/>
                <w:numId w:val="7"/>
              </w:numPr>
              <w:tabs>
                <w:tab w:val="left" w:pos="720" w:leader="none"/>
              </w:tabs>
              <w:bidi w:val="0"/>
              <w:spacing w:before="100" w:after="0"/>
              <w:ind w:hanging="360" w:left="720" w:right="0"/>
              <w:rPr>
                <w:rFonts w:ascii="Times New Roman" w:hAnsi="Times New Roman"/>
              </w:rPr>
            </w:pPr>
            <w:r>
              <w:rPr/>
              <w:t>no segregated cycle routes,</w:t>
            </w:r>
          </w:p>
          <w:p>
            <w:pPr>
              <w:pStyle w:val="NormalWeb"/>
              <w:numPr>
                <w:ilvl w:val="0"/>
                <w:numId w:val="7"/>
              </w:numPr>
              <w:tabs>
                <w:tab w:val="left" w:pos="720" w:leader="none"/>
              </w:tabs>
              <w:bidi w:val="0"/>
              <w:spacing w:before="0" w:after="0"/>
              <w:ind w:hanging="360" w:left="720" w:right="0"/>
              <w:rPr>
                <w:rFonts w:ascii="Times New Roman" w:hAnsi="Times New Roman"/>
              </w:rPr>
            </w:pPr>
            <w:r>
              <w:rPr/>
              <w:t>no safe walking corridors,</w:t>
            </w:r>
          </w:p>
          <w:p>
            <w:pPr>
              <w:pStyle w:val="NormalWeb"/>
              <w:numPr>
                <w:ilvl w:val="0"/>
                <w:numId w:val="7"/>
              </w:numPr>
              <w:tabs>
                <w:tab w:val="left" w:pos="720" w:leader="none"/>
              </w:tabs>
              <w:bidi w:val="0"/>
              <w:spacing w:before="0" w:after="0"/>
              <w:ind w:hanging="360" w:left="720" w:right="0"/>
              <w:rPr>
                <w:rFonts w:ascii="Times New Roman" w:hAnsi="Times New Roman"/>
              </w:rPr>
            </w:pPr>
            <w:r>
              <w:rPr/>
              <w:t>the Greenway is not suitable to business journeys.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E. No strategic transport interventions</w:t>
            </w:r>
          </w:p>
          <w:p>
            <w:pPr>
              <w:pStyle w:val="NormalWeb"/>
              <w:bidi w:val="0"/>
              <w:spacing w:before="100" w:after="100"/>
              <w:rPr>
                <w:rFonts w:ascii="Times New Roman" w:hAnsi="Times New Roman"/>
              </w:rPr>
            </w:pPr>
            <w:r>
              <w:rPr/>
              <w:t>The SWLP lists major transport schemes (ID.4, ID.5), but:</w:t>
            </w:r>
          </w:p>
          <w:p>
            <w:pPr>
              <w:pStyle w:val="NormalWeb"/>
              <w:numPr>
                <w:ilvl w:val="0"/>
                <w:numId w:val="8"/>
              </w:numPr>
              <w:tabs>
                <w:tab w:val="left" w:pos="720" w:leader="none"/>
              </w:tabs>
              <w:bidi w:val="0"/>
              <w:spacing w:before="100" w:after="0"/>
              <w:ind w:hanging="360" w:left="720" w:right="0"/>
              <w:rPr>
                <w:rFonts w:ascii="Times New Roman" w:hAnsi="Times New Roman"/>
              </w:rPr>
            </w:pPr>
            <w:r>
              <w:rPr/>
              <w:t>none are funded,</w:t>
            </w:r>
          </w:p>
          <w:p>
            <w:pPr>
              <w:pStyle w:val="NormalWeb"/>
              <w:numPr>
                <w:ilvl w:val="0"/>
                <w:numId w:val="8"/>
              </w:numPr>
              <w:tabs>
                <w:tab w:val="left" w:pos="720" w:leader="none"/>
              </w:tabs>
              <w:bidi w:val="0"/>
              <w:spacing w:before="0" w:after="0"/>
              <w:ind w:hanging="360" w:left="720" w:right="0"/>
              <w:rPr>
                <w:rFonts w:ascii="Times New Roman" w:hAnsi="Times New Roman"/>
              </w:rPr>
            </w:pPr>
            <w:r>
              <w:rPr/>
              <w:t>none are committed,</w:t>
            </w:r>
          </w:p>
          <w:p>
            <w:pPr>
              <w:pStyle w:val="NormalWeb"/>
              <w:numPr>
                <w:ilvl w:val="0"/>
                <w:numId w:val="8"/>
              </w:numPr>
              <w:tabs>
                <w:tab w:val="left" w:pos="720" w:leader="none"/>
              </w:tabs>
              <w:bidi w:val="0"/>
              <w:spacing w:before="0" w:after="0"/>
              <w:ind w:hanging="360" w:left="720" w:right="0"/>
              <w:rPr>
                <w:rFonts w:ascii="Times New Roman" w:hAnsi="Times New Roman"/>
              </w:rPr>
            </w:pPr>
            <w:r>
              <w:rPr/>
              <w:t>none are guaranteed,</w:t>
            </w:r>
          </w:p>
          <w:p>
            <w:pPr>
              <w:pStyle w:val="NormalWeb"/>
              <w:numPr>
                <w:ilvl w:val="0"/>
                <w:numId w:val="8"/>
              </w:numPr>
              <w:tabs>
                <w:tab w:val="left" w:pos="720" w:leader="none"/>
              </w:tabs>
              <w:bidi w:val="0"/>
              <w:spacing w:before="0" w:after="0"/>
              <w:ind w:hanging="360" w:left="720" w:right="0"/>
              <w:rPr>
                <w:rFonts w:ascii="Times New Roman" w:hAnsi="Times New Roman"/>
              </w:rPr>
            </w:pPr>
            <w:r>
              <w:rPr/>
              <w:t>none are unequivocally tied to LMA phasing.</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Why this makes LMA unsustainable for employment</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A. Residents will be forced into long car commutes</w:t>
            </w:r>
          </w:p>
          <w:p>
            <w:pPr>
              <w:pStyle w:val="NormalWeb"/>
              <w:bidi w:val="0"/>
              <w:spacing w:before="100" w:after="100"/>
              <w:rPr>
                <w:rFonts w:ascii="Times New Roman" w:hAnsi="Times New Roman"/>
              </w:rPr>
            </w:pPr>
            <w:r>
              <w:rPr/>
              <w:t>To reach Warwick, Leamington, Coventry, or Stratford, residents must drive long distances on rural roads.</w:t>
            </w:r>
          </w:p>
          <w:p>
            <w:pPr>
              <w:pStyle w:val="NormalWeb"/>
              <w:bidi w:val="0"/>
              <w:spacing w:before="100" w:after="100"/>
              <w:rPr>
                <w:rFonts w:ascii="Times New Roman" w:hAnsi="Times New Roman"/>
              </w:rPr>
            </w:pPr>
            <w:r>
              <w:rPr/>
              <w:t>This contradicts:</w:t>
            </w:r>
          </w:p>
          <w:p>
            <w:pPr>
              <w:pStyle w:val="NormalWeb"/>
              <w:numPr>
                <w:ilvl w:val="0"/>
                <w:numId w:val="9"/>
              </w:numPr>
              <w:tabs>
                <w:tab w:val="left" w:pos="720" w:leader="none"/>
              </w:tabs>
              <w:bidi w:val="0"/>
              <w:spacing w:before="100" w:after="0"/>
              <w:ind w:hanging="360" w:left="720" w:right="0"/>
              <w:rPr>
                <w:rFonts w:ascii="Times New Roman" w:hAnsi="Times New Roman"/>
              </w:rPr>
            </w:pPr>
            <w:r>
              <w:rPr>
                <w:rStyle w:val="Strong"/>
                <w:lang w:val="en-GB" w:eastAsia="en-GB" w:bidi="ar-SA"/>
              </w:rPr>
              <w:t>NPPF §104–110</w:t>
            </w:r>
            <w:r>
              <w:rPr/>
              <w:t>,</w:t>
            </w:r>
          </w:p>
          <w:p>
            <w:pPr>
              <w:pStyle w:val="NormalWeb"/>
              <w:numPr>
                <w:ilvl w:val="0"/>
                <w:numId w:val="9"/>
              </w:numPr>
              <w:tabs>
                <w:tab w:val="left" w:pos="720" w:leader="none"/>
              </w:tabs>
              <w:bidi w:val="0"/>
              <w:spacing w:before="0" w:after="0"/>
              <w:ind w:hanging="360" w:left="720" w:right="0"/>
              <w:rPr>
                <w:rFonts w:ascii="Times New Roman" w:hAnsi="Times New Roman"/>
              </w:rPr>
            </w:pPr>
            <w:r>
              <w:rPr>
                <w:rStyle w:val="Strong"/>
                <w:lang w:val="en-GB" w:eastAsia="en-GB" w:bidi="ar-SA"/>
              </w:rPr>
              <w:t>SWLP Strategic Objective 9</w:t>
            </w:r>
            <w:r>
              <w:rPr/>
              <w:t>,</w:t>
            </w:r>
          </w:p>
          <w:p>
            <w:pPr>
              <w:pStyle w:val="NormalWeb"/>
              <w:numPr>
                <w:ilvl w:val="0"/>
                <w:numId w:val="9"/>
              </w:numPr>
              <w:tabs>
                <w:tab w:val="left" w:pos="720" w:leader="none"/>
              </w:tabs>
              <w:bidi w:val="0"/>
              <w:spacing w:before="0" w:after="0"/>
              <w:ind w:hanging="360" w:left="720" w:right="0"/>
              <w:rPr>
                <w:rFonts w:ascii="Times New Roman" w:hAnsi="Times New Roman"/>
              </w:rPr>
            </w:pPr>
            <w:r>
              <w:rPr>
                <w:rStyle w:val="Strong"/>
                <w:lang w:val="en-GB" w:eastAsia="en-GB" w:bidi="ar-SA"/>
              </w:rPr>
              <w:t>ID.5 Sustainable Transport Accessibility</w:t>
            </w:r>
            <w:r>
              <w:rPr/>
              <w:t>.</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B. LMA does not support the SWLP’s employment strategy</w:t>
            </w:r>
          </w:p>
          <w:p>
            <w:pPr>
              <w:pStyle w:val="NormalWeb"/>
              <w:bidi w:val="0"/>
              <w:spacing w:before="100" w:after="100"/>
              <w:rPr>
                <w:rFonts w:ascii="Times New Roman" w:hAnsi="Times New Roman"/>
              </w:rPr>
            </w:pPr>
            <w:r>
              <w:rPr/>
              <w:t>Strategic Objective 3 requires:</w:t>
            </w:r>
          </w:p>
          <w:p>
            <w:pPr>
              <w:pStyle w:val="NormalWeb"/>
              <w:bidi w:val="0"/>
              <w:spacing w:before="100" w:after="100"/>
              <w:rPr>
                <w:rFonts w:ascii="Times New Roman" w:hAnsi="Times New Roman"/>
              </w:rPr>
            </w:pPr>
            <w:r>
              <w:rPr>
                <w:rStyle w:val="Emphasis"/>
                <w:lang w:val="en-GB" w:eastAsia="en-GB" w:bidi="ar-SA"/>
              </w:rPr>
              <w:t>“</w:t>
            </w:r>
            <w:r>
              <w:rPr>
                <w:rStyle w:val="Emphasis"/>
                <w:lang w:val="en-GB" w:eastAsia="en-GB" w:bidi="ar-SA"/>
              </w:rPr>
              <w:t>Accommodating the growth in employment opportunities that build upon our strong and diverse economy.”</w:t>
            </w:r>
          </w:p>
          <w:p>
            <w:pPr>
              <w:pStyle w:val="NormalWeb"/>
              <w:bidi w:val="0"/>
              <w:spacing w:before="100" w:after="100"/>
              <w:rPr>
                <w:rFonts w:ascii="Times New Roman" w:hAnsi="Times New Roman"/>
              </w:rPr>
            </w:pPr>
            <w:r>
              <w:rPr/>
              <w:t>But LMA:</w:t>
            </w:r>
          </w:p>
          <w:p>
            <w:pPr>
              <w:pStyle w:val="NormalWeb"/>
              <w:numPr>
                <w:ilvl w:val="0"/>
                <w:numId w:val="10"/>
              </w:numPr>
              <w:tabs>
                <w:tab w:val="left" w:pos="720" w:leader="none"/>
              </w:tabs>
              <w:bidi w:val="0"/>
              <w:spacing w:before="100" w:after="0"/>
              <w:ind w:hanging="360" w:left="720" w:right="0"/>
              <w:rPr>
                <w:rFonts w:ascii="Times New Roman" w:hAnsi="Times New Roman"/>
              </w:rPr>
            </w:pPr>
            <w:r>
              <w:rPr/>
              <w:t>is remote from employment growth areas,</w:t>
            </w:r>
          </w:p>
          <w:p>
            <w:pPr>
              <w:pStyle w:val="NormalWeb"/>
              <w:numPr>
                <w:ilvl w:val="0"/>
                <w:numId w:val="10"/>
              </w:numPr>
              <w:tabs>
                <w:tab w:val="left" w:pos="720" w:leader="none"/>
              </w:tabs>
              <w:bidi w:val="0"/>
              <w:spacing w:before="0" w:after="0"/>
              <w:ind w:hanging="360" w:left="720" w:right="0"/>
              <w:rPr>
                <w:rFonts w:ascii="Times New Roman" w:hAnsi="Times New Roman"/>
              </w:rPr>
            </w:pPr>
            <w:r>
              <w:rPr/>
              <w:t>is not connected to innovation clusters,</w:t>
            </w:r>
          </w:p>
          <w:p>
            <w:pPr>
              <w:pStyle w:val="NormalWeb"/>
              <w:numPr>
                <w:ilvl w:val="0"/>
                <w:numId w:val="10"/>
              </w:numPr>
              <w:tabs>
                <w:tab w:val="left" w:pos="720" w:leader="none"/>
              </w:tabs>
              <w:bidi w:val="0"/>
              <w:spacing w:before="0" w:after="0"/>
              <w:ind w:hanging="360" w:left="720" w:right="0"/>
              <w:rPr>
                <w:rFonts w:ascii="Times New Roman" w:hAnsi="Times New Roman"/>
              </w:rPr>
            </w:pPr>
            <w:r>
              <w:rPr/>
              <w:t>is not linked to major employers,</w:t>
            </w:r>
          </w:p>
          <w:p>
            <w:pPr>
              <w:pStyle w:val="NormalWeb"/>
              <w:numPr>
                <w:ilvl w:val="0"/>
                <w:numId w:val="10"/>
              </w:numPr>
              <w:tabs>
                <w:tab w:val="left" w:pos="720" w:leader="none"/>
              </w:tabs>
              <w:bidi w:val="0"/>
              <w:spacing w:before="0" w:after="0"/>
              <w:ind w:hanging="360" w:left="720" w:right="0"/>
              <w:rPr>
                <w:rFonts w:ascii="Times New Roman" w:hAnsi="Times New Roman"/>
              </w:rPr>
            </w:pPr>
            <w:r>
              <w:rPr/>
              <w:t>is not on a strategic transport corridor.</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 LMA creates unsustainable commuting patterns</w:t>
            </w:r>
          </w:p>
          <w:p>
            <w:pPr>
              <w:pStyle w:val="NormalWeb"/>
              <w:bidi w:val="0"/>
              <w:spacing w:before="100" w:after="100"/>
              <w:rPr>
                <w:rFonts w:ascii="Times New Roman" w:hAnsi="Times New Roman"/>
              </w:rPr>
            </w:pPr>
            <w:r>
              <w:rPr/>
              <w:t xml:space="preserve">The SWLP provides </w:t>
            </w:r>
            <w:r>
              <w:rPr>
                <w:rStyle w:val="Strong"/>
                <w:lang w:val="en-GB" w:eastAsia="en-GB" w:bidi="ar-SA"/>
              </w:rPr>
              <w:t>no evidence</w:t>
            </w:r>
            <w:r>
              <w:rPr/>
              <w:t xml:space="preserve"> that:</w:t>
            </w:r>
          </w:p>
          <w:p>
            <w:pPr>
              <w:pStyle w:val="NormalWeb"/>
              <w:numPr>
                <w:ilvl w:val="0"/>
                <w:numId w:val="11"/>
              </w:numPr>
              <w:tabs>
                <w:tab w:val="left" w:pos="720" w:leader="none"/>
              </w:tabs>
              <w:bidi w:val="0"/>
              <w:spacing w:before="100" w:after="0"/>
              <w:ind w:hanging="360" w:left="720" w:right="0"/>
              <w:rPr>
                <w:rFonts w:ascii="Times New Roman" w:hAnsi="Times New Roman"/>
              </w:rPr>
            </w:pPr>
            <w:r>
              <w:rPr/>
              <w:t>commuting demand has been modelled,</w:t>
            </w:r>
          </w:p>
          <w:p>
            <w:pPr>
              <w:pStyle w:val="NormalWeb"/>
              <w:numPr>
                <w:ilvl w:val="0"/>
                <w:numId w:val="11"/>
              </w:numPr>
              <w:tabs>
                <w:tab w:val="left" w:pos="720" w:leader="none"/>
              </w:tabs>
              <w:bidi w:val="0"/>
              <w:spacing w:before="0" w:after="0"/>
              <w:ind w:hanging="360" w:left="720" w:right="0"/>
              <w:rPr>
                <w:rFonts w:ascii="Times New Roman" w:hAnsi="Times New Roman"/>
              </w:rPr>
            </w:pPr>
            <w:r>
              <w:rPr/>
              <w:t>transport impacts have been assessed,</w:t>
            </w:r>
          </w:p>
          <w:p>
            <w:pPr>
              <w:pStyle w:val="NormalWeb"/>
              <w:numPr>
                <w:ilvl w:val="0"/>
                <w:numId w:val="11"/>
              </w:numPr>
              <w:tabs>
                <w:tab w:val="left" w:pos="720" w:leader="none"/>
              </w:tabs>
              <w:bidi w:val="0"/>
              <w:spacing w:before="0" w:after="0"/>
              <w:ind w:hanging="360" w:left="720" w:right="0"/>
              <w:rPr>
                <w:rFonts w:ascii="Times New Roman" w:hAnsi="Times New Roman"/>
              </w:rPr>
            </w:pPr>
            <w:r>
              <w:rPr/>
              <w:t>employment accessibility has been evaluated.</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D. LMA contradicts the SWLP’s own spatial logic</w:t>
            </w:r>
          </w:p>
          <w:p>
            <w:pPr>
              <w:pStyle w:val="NormalWeb"/>
              <w:bidi w:val="0"/>
              <w:spacing w:before="100" w:after="100"/>
              <w:rPr>
                <w:rFonts w:ascii="Times New Roman" w:hAnsi="Times New Roman"/>
              </w:rPr>
            </w:pPr>
            <w:r>
              <w:rPr/>
              <w:t>The plan emphasises:</w:t>
            </w:r>
          </w:p>
          <w:p>
            <w:pPr>
              <w:pStyle w:val="NormalWeb"/>
              <w:numPr>
                <w:ilvl w:val="0"/>
                <w:numId w:val="12"/>
              </w:numPr>
              <w:tabs>
                <w:tab w:val="left" w:pos="720" w:leader="none"/>
              </w:tabs>
              <w:bidi w:val="0"/>
              <w:spacing w:before="100" w:after="0"/>
              <w:ind w:hanging="360" w:left="720" w:right="0"/>
              <w:rPr>
                <w:rFonts w:ascii="Times New Roman" w:hAnsi="Times New Roman"/>
              </w:rPr>
            </w:pPr>
            <w:r>
              <w:rPr>
                <w:rStyle w:val="Strong"/>
                <w:lang w:val="en-GB" w:eastAsia="en-GB" w:bidi="ar-SA"/>
              </w:rPr>
              <w:t>north</w:t>
              <w:noBreakHyphen/>
              <w:t>east employment growth</w:t>
            </w:r>
            <w:r>
              <w:rPr/>
              <w:t>,</w:t>
            </w:r>
          </w:p>
          <w:p>
            <w:pPr>
              <w:pStyle w:val="NormalWeb"/>
              <w:numPr>
                <w:ilvl w:val="0"/>
                <w:numId w:val="12"/>
              </w:numPr>
              <w:tabs>
                <w:tab w:val="left" w:pos="720" w:leader="none"/>
              </w:tabs>
              <w:bidi w:val="0"/>
              <w:spacing w:before="0" w:after="0"/>
              <w:ind w:hanging="360" w:left="720" w:right="0"/>
              <w:rPr>
                <w:rFonts w:ascii="Times New Roman" w:hAnsi="Times New Roman"/>
              </w:rPr>
            </w:pPr>
            <w:r>
              <w:rPr>
                <w:rStyle w:val="Strong"/>
                <w:lang w:val="en-GB" w:eastAsia="en-GB" w:bidi="ar-SA"/>
              </w:rPr>
              <w:t>Coventry–Warwick–Leamington corridor</w:t>
            </w:r>
            <w:r>
              <w:rPr/>
              <w:t>,</w:t>
            </w:r>
          </w:p>
          <w:p>
            <w:pPr>
              <w:pStyle w:val="NormalWeb"/>
              <w:numPr>
                <w:ilvl w:val="0"/>
                <w:numId w:val="12"/>
              </w:numPr>
              <w:tabs>
                <w:tab w:val="left" w:pos="720" w:leader="none"/>
              </w:tabs>
              <w:bidi w:val="0"/>
              <w:spacing w:before="0" w:after="100"/>
              <w:ind w:hanging="360" w:left="720" w:right="0"/>
              <w:rPr>
                <w:rFonts w:ascii="Times New Roman" w:hAnsi="Times New Roman"/>
              </w:rPr>
            </w:pPr>
            <w:r>
              <w:rPr>
                <w:rStyle w:val="Strong"/>
                <w:lang w:val="en-GB" w:eastAsia="en-GB" w:bidi="ar-SA"/>
              </w:rPr>
              <w:t>Stratford’s constrained transport network</w:t>
            </w:r>
            <w:r>
              <w:rPr/>
              <w:t>.</w:t>
            </w:r>
          </w:p>
          <w:p>
            <w:pPr>
              <w:pStyle w:val="NormalWeb"/>
              <w:bidi w:val="0"/>
              <w:spacing w:before="100" w:after="100"/>
              <w:rPr>
                <w:rFonts w:ascii="Times New Roman" w:hAnsi="Times New Roman"/>
              </w:rPr>
            </w:pPr>
            <w:r>
              <w:rPr/>
              <w:t xml:space="preserve">LMA is located in the </w:t>
            </w:r>
            <w:r>
              <w:rPr>
                <w:rStyle w:val="Strong"/>
                <w:lang w:val="en-GB" w:eastAsia="en-GB" w:bidi="ar-SA"/>
              </w:rPr>
              <w:t>opposite direction</w:t>
            </w:r>
            <w:r>
              <w:rPr/>
              <w:t>.</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Failure of Soundness – Not Justified (NPPF §31, §35)</w:t>
            </w:r>
          </w:p>
          <w:p>
            <w:pPr>
              <w:pStyle w:val="NormalWeb"/>
              <w:bidi w:val="0"/>
              <w:spacing w:before="100" w:after="100"/>
              <w:rPr>
                <w:rFonts w:ascii="Times New Roman" w:hAnsi="Times New Roman"/>
              </w:rPr>
            </w:pPr>
            <w:r>
              <w:rPr/>
              <w:t xml:space="preserve">The SWLP provides </w:t>
            </w:r>
            <w:r>
              <w:rPr>
                <w:rStyle w:val="Strong"/>
                <w:lang w:val="en-GB" w:eastAsia="en-GB" w:bidi="ar-SA"/>
              </w:rPr>
              <w:t>no proportionate evidence</w:t>
            </w:r>
            <w:r>
              <w:rPr/>
              <w:t xml:space="preserve"> on:</w:t>
            </w:r>
          </w:p>
          <w:p>
            <w:pPr>
              <w:pStyle w:val="NormalWeb"/>
              <w:numPr>
                <w:ilvl w:val="0"/>
                <w:numId w:val="13"/>
              </w:numPr>
              <w:tabs>
                <w:tab w:val="left" w:pos="720" w:leader="none"/>
              </w:tabs>
              <w:bidi w:val="0"/>
              <w:spacing w:before="100" w:after="0"/>
              <w:ind w:hanging="360" w:left="720" w:right="0"/>
              <w:rPr>
                <w:rFonts w:ascii="Times New Roman" w:hAnsi="Times New Roman"/>
              </w:rPr>
            </w:pPr>
            <w:r>
              <w:rPr/>
              <w:t>commuting patterns,</w:t>
            </w:r>
          </w:p>
          <w:p>
            <w:pPr>
              <w:pStyle w:val="NormalWeb"/>
              <w:numPr>
                <w:ilvl w:val="0"/>
                <w:numId w:val="13"/>
              </w:numPr>
              <w:tabs>
                <w:tab w:val="left" w:pos="720" w:leader="none"/>
              </w:tabs>
              <w:bidi w:val="0"/>
              <w:spacing w:before="0" w:after="0"/>
              <w:ind w:hanging="360" w:left="720" w:right="0"/>
              <w:rPr>
                <w:rFonts w:ascii="Times New Roman" w:hAnsi="Times New Roman"/>
              </w:rPr>
            </w:pPr>
            <w:r>
              <w:rPr/>
              <w:t>employment accessibility,</w:t>
            </w:r>
          </w:p>
          <w:p>
            <w:pPr>
              <w:pStyle w:val="NormalWeb"/>
              <w:numPr>
                <w:ilvl w:val="0"/>
                <w:numId w:val="13"/>
              </w:numPr>
              <w:tabs>
                <w:tab w:val="left" w:pos="720" w:leader="none"/>
              </w:tabs>
              <w:bidi w:val="0"/>
              <w:spacing w:before="0" w:after="0"/>
              <w:ind w:hanging="360" w:left="720" w:right="0"/>
              <w:rPr>
                <w:rFonts w:ascii="Times New Roman" w:hAnsi="Times New Roman"/>
              </w:rPr>
            </w:pPr>
            <w:r>
              <w:rPr/>
              <w:t>transport capacity,</w:t>
            </w:r>
          </w:p>
          <w:p>
            <w:pPr>
              <w:pStyle w:val="NormalWeb"/>
              <w:numPr>
                <w:ilvl w:val="0"/>
                <w:numId w:val="13"/>
              </w:numPr>
              <w:tabs>
                <w:tab w:val="left" w:pos="720" w:leader="none"/>
              </w:tabs>
              <w:bidi w:val="0"/>
              <w:spacing w:before="0" w:after="0"/>
              <w:ind w:hanging="360" w:left="720" w:right="0"/>
              <w:rPr>
                <w:rFonts w:ascii="Times New Roman" w:hAnsi="Times New Roman"/>
              </w:rPr>
            </w:pPr>
            <w:r>
              <w:rPr/>
              <w:t>cross</w:t>
              <w:noBreakHyphen/>
              <w:t>border commuting impacts,</w:t>
            </w:r>
          </w:p>
          <w:p>
            <w:pPr>
              <w:pStyle w:val="NormalWeb"/>
              <w:numPr>
                <w:ilvl w:val="0"/>
                <w:numId w:val="13"/>
              </w:numPr>
              <w:tabs>
                <w:tab w:val="left" w:pos="720" w:leader="none"/>
              </w:tabs>
              <w:bidi w:val="0"/>
              <w:spacing w:before="0" w:after="100"/>
              <w:ind w:hanging="360" w:left="720" w:right="0"/>
              <w:rPr>
                <w:rFonts w:ascii="Times New Roman" w:hAnsi="Times New Roman"/>
              </w:rPr>
            </w:pPr>
            <w:r>
              <w:rPr/>
              <w:t>cumulative congestion.</w:t>
            </w:r>
          </w:p>
          <w:p>
            <w:pPr>
              <w:pStyle w:val="NormalWeb"/>
              <w:bidi w:val="0"/>
              <w:spacing w:before="100" w:after="100"/>
              <w:rPr>
                <w:rFonts w:ascii="Times New Roman" w:hAnsi="Times New Roman"/>
              </w:rPr>
            </w:pPr>
            <w:r>
              <w:rPr/>
              <w:t>This is a breach of NPPF §31.</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Failure of Soundness – Not Effective (NPPF §35)</w:t>
            </w:r>
          </w:p>
          <w:p>
            <w:pPr>
              <w:pStyle w:val="NormalWeb"/>
              <w:bidi w:val="0"/>
              <w:spacing w:before="100" w:after="100"/>
              <w:rPr>
                <w:rFonts w:ascii="Times New Roman" w:hAnsi="Times New Roman"/>
              </w:rPr>
            </w:pPr>
            <w:r>
              <w:rPr/>
              <w:t>The plan does not demonstrate:</w:t>
            </w:r>
          </w:p>
          <w:p>
            <w:pPr>
              <w:pStyle w:val="NormalWeb"/>
              <w:numPr>
                <w:ilvl w:val="0"/>
                <w:numId w:val="14"/>
              </w:numPr>
              <w:tabs>
                <w:tab w:val="left" w:pos="720" w:leader="none"/>
              </w:tabs>
              <w:bidi w:val="0"/>
              <w:spacing w:before="100" w:after="0"/>
              <w:ind w:hanging="360" w:left="720" w:right="0"/>
              <w:rPr>
                <w:rFonts w:ascii="Times New Roman" w:hAnsi="Times New Roman"/>
              </w:rPr>
            </w:pPr>
            <w:r>
              <w:rPr/>
              <w:t>deliverable transport infrastructure,</w:t>
            </w:r>
          </w:p>
          <w:p>
            <w:pPr>
              <w:pStyle w:val="NormalWeb"/>
              <w:numPr>
                <w:ilvl w:val="0"/>
                <w:numId w:val="14"/>
              </w:numPr>
              <w:tabs>
                <w:tab w:val="left" w:pos="720" w:leader="none"/>
              </w:tabs>
              <w:bidi w:val="0"/>
              <w:spacing w:before="0" w:after="0"/>
              <w:ind w:hanging="360" w:left="720" w:right="0"/>
              <w:rPr>
                <w:rFonts w:ascii="Times New Roman" w:hAnsi="Times New Roman"/>
              </w:rPr>
            </w:pPr>
            <w:r>
              <w:rPr/>
              <w:t>sustainable commuting options,</w:t>
            </w:r>
          </w:p>
          <w:p>
            <w:pPr>
              <w:pStyle w:val="NormalWeb"/>
              <w:numPr>
                <w:ilvl w:val="0"/>
                <w:numId w:val="14"/>
              </w:numPr>
              <w:tabs>
                <w:tab w:val="left" w:pos="720" w:leader="none"/>
              </w:tabs>
              <w:bidi w:val="0"/>
              <w:spacing w:before="0" w:after="0"/>
              <w:ind w:hanging="360" w:left="720" w:right="0"/>
              <w:rPr>
                <w:rFonts w:ascii="Times New Roman" w:hAnsi="Times New Roman"/>
              </w:rPr>
            </w:pPr>
            <w:r>
              <w:rPr/>
              <w:t>realistic modal shift,</w:t>
            </w:r>
          </w:p>
          <w:p>
            <w:pPr>
              <w:pStyle w:val="NormalWeb"/>
              <w:numPr>
                <w:ilvl w:val="0"/>
                <w:numId w:val="14"/>
              </w:numPr>
              <w:tabs>
                <w:tab w:val="left" w:pos="720" w:leader="none"/>
              </w:tabs>
              <w:bidi w:val="0"/>
              <w:spacing w:before="0" w:after="100"/>
              <w:ind w:hanging="360" w:left="720" w:right="0"/>
              <w:rPr>
                <w:rFonts w:ascii="Times New Roman" w:hAnsi="Times New Roman"/>
              </w:rPr>
            </w:pPr>
            <w:r>
              <w:rPr/>
              <w:t>viable employment access.</w:t>
            </w:r>
          </w:p>
          <w:p>
            <w:pPr>
              <w:pStyle w:val="NormalWeb"/>
              <w:bidi w:val="0"/>
              <w:spacing w:before="100" w:after="100"/>
              <w:rPr>
                <w:rFonts w:ascii="Times New Roman" w:hAnsi="Times New Roman"/>
              </w:rPr>
            </w:pPr>
            <w:r>
              <w:rPr/>
              <w:t xml:space="preserve">LMA is therefore </w:t>
            </w:r>
            <w:r>
              <w:rPr>
                <w:rStyle w:val="Strong"/>
                <w:lang w:val="en-GB" w:eastAsia="en-GB" w:bidi="ar-SA"/>
              </w:rPr>
              <w:t>not effective</w:t>
            </w:r>
            <w:r>
              <w:rPr/>
              <w:t>.</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8. Failure of Soundness – Not Consistent with National Policy (NPPF §104–110)</w:t>
            </w:r>
          </w:p>
          <w:p>
            <w:pPr>
              <w:pStyle w:val="NormalWeb"/>
              <w:bidi w:val="0"/>
              <w:spacing w:before="100" w:after="100"/>
              <w:rPr>
                <w:rFonts w:ascii="Times New Roman" w:hAnsi="Times New Roman"/>
              </w:rPr>
            </w:pPr>
            <w:r>
              <w:rPr/>
              <w:t>NPPF requires:</w:t>
            </w:r>
          </w:p>
          <w:p>
            <w:pPr>
              <w:pStyle w:val="NormalWeb"/>
              <w:numPr>
                <w:ilvl w:val="0"/>
                <w:numId w:val="15"/>
              </w:numPr>
              <w:tabs>
                <w:tab w:val="left" w:pos="720" w:leader="none"/>
              </w:tabs>
              <w:bidi w:val="0"/>
              <w:spacing w:before="100" w:after="0"/>
              <w:ind w:hanging="360" w:left="720" w:right="0"/>
              <w:rPr>
                <w:rFonts w:ascii="Times New Roman" w:hAnsi="Times New Roman"/>
              </w:rPr>
            </w:pPr>
            <w:r>
              <w:rPr/>
              <w:t>sustainable transport,</w:t>
            </w:r>
          </w:p>
          <w:p>
            <w:pPr>
              <w:pStyle w:val="NormalWeb"/>
              <w:numPr>
                <w:ilvl w:val="0"/>
                <w:numId w:val="15"/>
              </w:numPr>
              <w:tabs>
                <w:tab w:val="left" w:pos="720" w:leader="none"/>
              </w:tabs>
              <w:bidi w:val="0"/>
              <w:spacing w:before="0" w:after="0"/>
              <w:ind w:hanging="360" w:left="720" w:right="0"/>
              <w:rPr>
                <w:rFonts w:ascii="Times New Roman" w:hAnsi="Times New Roman"/>
              </w:rPr>
            </w:pPr>
            <w:r>
              <w:rPr/>
              <w:t>reduced car dependency,</w:t>
            </w:r>
          </w:p>
          <w:p>
            <w:pPr>
              <w:pStyle w:val="NormalWeb"/>
              <w:numPr>
                <w:ilvl w:val="0"/>
                <w:numId w:val="15"/>
              </w:numPr>
              <w:tabs>
                <w:tab w:val="left" w:pos="720" w:leader="none"/>
              </w:tabs>
              <w:bidi w:val="0"/>
              <w:spacing w:before="0" w:after="0"/>
              <w:ind w:hanging="360" w:left="720" w:right="0"/>
              <w:rPr>
                <w:rFonts w:ascii="Times New Roman" w:hAnsi="Times New Roman"/>
              </w:rPr>
            </w:pPr>
            <w:r>
              <w:rPr/>
              <w:t>employment accessibility,</w:t>
            </w:r>
          </w:p>
          <w:p>
            <w:pPr>
              <w:pStyle w:val="NormalWeb"/>
              <w:numPr>
                <w:ilvl w:val="0"/>
                <w:numId w:val="15"/>
              </w:numPr>
              <w:tabs>
                <w:tab w:val="left" w:pos="720" w:leader="none"/>
              </w:tabs>
              <w:bidi w:val="0"/>
              <w:spacing w:before="0" w:after="100"/>
              <w:ind w:hanging="360" w:left="720" w:right="0"/>
              <w:rPr>
                <w:rFonts w:ascii="Times New Roman" w:hAnsi="Times New Roman"/>
              </w:rPr>
            </w:pPr>
            <w:r>
              <w:rPr/>
              <w:t>integrated land</w:t>
              <w:noBreakHyphen/>
              <w:t>use and transport planning.</w:t>
            </w:r>
          </w:p>
          <w:p>
            <w:pPr>
              <w:pStyle w:val="NormalWeb"/>
              <w:bidi w:val="0"/>
              <w:spacing w:before="100" w:after="100"/>
              <w:rPr>
                <w:rFonts w:ascii="Times New Roman" w:hAnsi="Times New Roman"/>
              </w:rPr>
            </w:pPr>
            <w:r>
              <w:rPr/>
              <w:t>LMA fails all of these tests.</w:t>
            </w:r>
          </w:p>
          <w:p>
            <w:pPr>
              <w:pStyle w:val="Normal"/>
              <w:bidi w:val="0"/>
              <w:ind w:hanging="0" w:left="0" w:right="0"/>
              <w:rPr>
                <w:rFonts w:ascii="Times New Roman" w:hAnsi="Times New Roman"/>
              </w:rPr>
            </w:pPr>
            <w:r>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9. Requested Modifications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Publish a full transport–employment accessibility study</w:t>
            </w:r>
          </w:p>
          <w:p>
            <w:pPr>
              <w:pStyle w:val="NormalWeb"/>
              <w:bidi w:val="0"/>
              <w:spacing w:before="100" w:after="100"/>
              <w:rPr>
                <w:rFonts w:ascii="Times New Roman" w:hAnsi="Times New Roman"/>
              </w:rPr>
            </w:pPr>
            <w:r>
              <w:rPr/>
              <w:t>Including:</w:t>
            </w:r>
          </w:p>
          <w:p>
            <w:pPr>
              <w:pStyle w:val="NormalWeb"/>
              <w:numPr>
                <w:ilvl w:val="0"/>
                <w:numId w:val="17"/>
              </w:numPr>
              <w:tabs>
                <w:tab w:val="left" w:pos="720" w:leader="none"/>
              </w:tabs>
              <w:bidi w:val="0"/>
              <w:spacing w:before="100" w:after="0"/>
              <w:ind w:hanging="360" w:left="720" w:right="0"/>
              <w:rPr/>
            </w:pPr>
            <w:r>
              <w:rPr/>
              <w:t>commuting flows,</w:t>
            </w:r>
          </w:p>
          <w:p>
            <w:pPr>
              <w:pStyle w:val="NormalWeb"/>
              <w:numPr>
                <w:ilvl w:val="0"/>
                <w:numId w:val="17"/>
              </w:numPr>
              <w:tabs>
                <w:tab w:val="left" w:pos="720" w:leader="none"/>
              </w:tabs>
              <w:bidi w:val="0"/>
              <w:spacing w:before="0" w:after="0"/>
              <w:ind w:hanging="360" w:left="720" w:right="0"/>
              <w:rPr/>
            </w:pPr>
            <w:r>
              <w:rPr/>
              <w:t>employment catchments,</w:t>
            </w:r>
          </w:p>
          <w:p>
            <w:pPr>
              <w:pStyle w:val="NormalWeb"/>
              <w:numPr>
                <w:ilvl w:val="0"/>
                <w:numId w:val="17"/>
              </w:numPr>
              <w:tabs>
                <w:tab w:val="left" w:pos="720" w:leader="none"/>
              </w:tabs>
              <w:bidi w:val="0"/>
              <w:spacing w:before="0" w:after="0"/>
              <w:ind w:hanging="360" w:left="720" w:right="0"/>
              <w:rPr/>
            </w:pPr>
            <w:r>
              <w:rPr/>
              <w:t>transport capacity,</w:t>
            </w:r>
          </w:p>
          <w:p>
            <w:pPr>
              <w:pStyle w:val="NormalWeb"/>
              <w:numPr>
                <w:ilvl w:val="0"/>
                <w:numId w:val="17"/>
              </w:numPr>
              <w:tabs>
                <w:tab w:val="left" w:pos="720" w:leader="none"/>
              </w:tabs>
              <w:bidi w:val="0"/>
              <w:spacing w:before="0" w:after="0"/>
              <w:ind w:hanging="360" w:left="720" w:right="0"/>
              <w:rPr>
                <w:rFonts w:ascii="Times New Roman" w:hAnsi="Times New Roman"/>
              </w:rPr>
            </w:pPr>
            <w:r>
              <w:rPr/>
              <w:t>modal shift feasibility.</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Provide a strategic transport plan for LMA</w:t>
            </w:r>
          </w:p>
          <w:p>
            <w:pPr>
              <w:pStyle w:val="NormalWeb"/>
              <w:bidi w:val="0"/>
              <w:spacing w:before="100" w:after="100"/>
              <w:rPr>
                <w:rFonts w:ascii="Times New Roman" w:hAnsi="Times New Roman"/>
              </w:rPr>
            </w:pPr>
            <w:r>
              <w:rPr/>
              <w:t>Including:</w:t>
            </w:r>
          </w:p>
          <w:p>
            <w:pPr>
              <w:pStyle w:val="NormalWeb"/>
              <w:numPr>
                <w:ilvl w:val="0"/>
                <w:numId w:val="18"/>
              </w:numPr>
              <w:tabs>
                <w:tab w:val="left" w:pos="720" w:leader="none"/>
              </w:tabs>
              <w:bidi w:val="0"/>
              <w:spacing w:before="100" w:after="0"/>
              <w:ind w:hanging="360" w:left="720" w:right="0"/>
              <w:rPr/>
            </w:pPr>
            <w:r>
              <w:rPr/>
              <w:t>mass transit options,</w:t>
            </w:r>
          </w:p>
          <w:p>
            <w:pPr>
              <w:pStyle w:val="NormalWeb"/>
              <w:numPr>
                <w:ilvl w:val="0"/>
                <w:numId w:val="18"/>
              </w:numPr>
              <w:tabs>
                <w:tab w:val="left" w:pos="720" w:leader="none"/>
              </w:tabs>
              <w:bidi w:val="0"/>
              <w:spacing w:before="0" w:after="0"/>
              <w:ind w:hanging="360" w:left="720" w:right="0"/>
              <w:rPr/>
            </w:pPr>
            <w:r>
              <w:rPr/>
              <w:t>active travel networks,</w:t>
            </w:r>
          </w:p>
          <w:p>
            <w:pPr>
              <w:pStyle w:val="NormalWeb"/>
              <w:numPr>
                <w:ilvl w:val="0"/>
                <w:numId w:val="18"/>
              </w:numPr>
              <w:tabs>
                <w:tab w:val="left" w:pos="720" w:leader="none"/>
              </w:tabs>
              <w:bidi w:val="0"/>
              <w:spacing w:before="0" w:after="0"/>
              <w:ind w:hanging="360" w:left="720" w:right="0"/>
              <w:rPr/>
            </w:pPr>
            <w:r>
              <w:rPr/>
              <w:t>bus corridors,</w:t>
            </w:r>
          </w:p>
          <w:p>
            <w:pPr>
              <w:pStyle w:val="NormalWeb"/>
              <w:numPr>
                <w:ilvl w:val="0"/>
                <w:numId w:val="18"/>
              </w:numPr>
              <w:tabs>
                <w:tab w:val="left" w:pos="720" w:leader="none"/>
              </w:tabs>
              <w:bidi w:val="0"/>
              <w:spacing w:before="0" w:after="0"/>
              <w:ind w:hanging="360" w:left="720" w:right="0"/>
              <w:rPr>
                <w:rFonts w:ascii="Times New Roman" w:hAnsi="Times New Roman"/>
              </w:rPr>
            </w:pPr>
            <w:r>
              <w:rPr/>
              <w:t>junction upgrades,</w:t>
            </w:r>
          </w:p>
          <w:p>
            <w:pPr>
              <w:pStyle w:val="NormalWeb"/>
              <w:numPr>
                <w:ilvl w:val="0"/>
                <w:numId w:val="18"/>
              </w:numPr>
              <w:tabs>
                <w:tab w:val="left" w:pos="720" w:leader="none"/>
              </w:tabs>
              <w:bidi w:val="0"/>
              <w:spacing w:before="0" w:after="0"/>
              <w:ind w:hanging="360" w:left="720" w:right="0"/>
              <w:rPr>
                <w:rFonts w:ascii="Times New Roman" w:hAnsi="Times New Roman"/>
              </w:rPr>
            </w:pPr>
            <w:r>
              <w:rPr/>
              <w:t>include unequivocal trigger that no further development at LMA is to be allowed until South Stratford Bypass is completed.</w:t>
            </w:r>
          </w:p>
          <w:p>
            <w:pPr>
              <w:pStyle w:val="NormalWeb"/>
              <w:numPr>
                <w:ilvl w:val="0"/>
                <w:numId w:val="18"/>
              </w:numPr>
              <w:tabs>
                <w:tab w:val="left" w:pos="720" w:leader="none"/>
              </w:tabs>
              <w:bidi w:val="0"/>
              <w:spacing w:before="0" w:after="0"/>
              <w:ind w:hanging="360" w:left="720" w:right="0"/>
              <w:rPr>
                <w:rFonts w:ascii="Times New Roman" w:hAnsi="Times New Roman"/>
              </w:rPr>
            </w:pPr>
            <w:r>
              <w:rPr/>
              <w:t>phasing triggers.</w:t>
            </w:r>
          </w:p>
          <w:p>
            <w:pPr>
              <w:pStyle w:val="Heading3"/>
              <w:numPr>
                <w:ilvl w:val="2"/>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Reassess the scale and location of LMA</w:t>
            </w:r>
          </w:p>
          <w:p>
            <w:pPr>
              <w:pStyle w:val="NormalWeb"/>
              <w:bidi w:val="0"/>
              <w:spacing w:before="100" w:after="100"/>
              <w:rPr>
                <w:rFonts w:ascii="Times New Roman" w:hAnsi="Times New Roman"/>
              </w:rPr>
            </w:pPr>
            <w:r>
              <w:rPr/>
              <w:t>If sustainable employment access cannot be delivered, the allocation must be:</w:t>
            </w:r>
          </w:p>
          <w:p>
            <w:pPr>
              <w:pStyle w:val="NormalWeb"/>
              <w:numPr>
                <w:ilvl w:val="0"/>
                <w:numId w:val="3"/>
              </w:numPr>
              <w:tabs>
                <w:tab w:val="left" w:pos="720" w:leader="none"/>
              </w:tabs>
              <w:bidi w:val="0"/>
              <w:spacing w:before="100" w:after="0"/>
              <w:ind w:hanging="360" w:left="720" w:right="0"/>
              <w:rPr>
                <w:rFonts w:ascii="Times New Roman" w:hAnsi="Times New Roman"/>
              </w:rPr>
            </w:pPr>
            <w:r>
              <w:rPr/>
              <w:t>reduced,</w:t>
            </w:r>
          </w:p>
          <w:p>
            <w:pPr>
              <w:pStyle w:val="NormalWeb"/>
              <w:numPr>
                <w:ilvl w:val="0"/>
                <w:numId w:val="3"/>
              </w:numPr>
              <w:tabs>
                <w:tab w:val="left" w:pos="720" w:leader="none"/>
              </w:tabs>
              <w:bidi w:val="0"/>
              <w:spacing w:before="0" w:after="0"/>
              <w:ind w:hanging="360" w:left="720" w:right="0"/>
              <w:rPr>
                <w:rFonts w:ascii="Times New Roman" w:hAnsi="Times New Roman"/>
              </w:rPr>
            </w:pPr>
            <w:r>
              <w:rPr/>
              <w:t>rephased,</w:t>
            </w:r>
          </w:p>
          <w:p>
            <w:pPr>
              <w:pStyle w:val="NormalWeb"/>
              <w:numPr>
                <w:ilvl w:val="0"/>
                <w:numId w:val="3"/>
              </w:numPr>
              <w:tabs>
                <w:tab w:val="left" w:pos="720" w:leader="none"/>
              </w:tabs>
              <w:bidi w:val="0"/>
              <w:spacing w:before="0" w:after="0"/>
              <w:ind w:hanging="360" w:left="720" w:right="0"/>
              <w:rPr>
                <w:rFonts w:ascii="Times New Roman" w:hAnsi="Times New Roman"/>
              </w:rPr>
            </w:pPr>
            <w:r>
              <w:rPr/>
              <w:t>or replaced with less remote alternatives.</w:t>
            </w:r>
          </w:p>
          <w:p>
            <w:pPr>
              <w:pStyle w:val="Heading1"/>
              <w:numPr>
                <w:ilvl w:val="0"/>
                <w:numId w:val="1"/>
              </w:numPr>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10. Conclusion</w:t>
            </w:r>
          </w:p>
          <w:p>
            <w:pPr>
              <w:pStyle w:val="NormalWeb"/>
              <w:bidi w:val="0"/>
              <w:spacing w:before="100" w:after="100"/>
              <w:rPr>
                <w:rFonts w:ascii="Times New Roman" w:hAnsi="Times New Roman"/>
              </w:rPr>
            </w:pPr>
            <w:r>
              <w:rPr/>
              <w:t xml:space="preserve">Proposal LMA is </w:t>
            </w:r>
            <w:r>
              <w:rPr>
                <w:rStyle w:val="Strong"/>
                <w:lang w:val="en-GB" w:eastAsia="en-GB" w:bidi="ar-SA"/>
              </w:rPr>
              <w:t>unsound</w:t>
            </w:r>
            <w:r>
              <w:rPr/>
              <w:t xml:space="preserve"> because the SWLP Reg 19 Publication Version provides </w:t>
            </w:r>
            <w:r>
              <w:rPr>
                <w:rStyle w:val="Strong"/>
                <w:lang w:val="en-GB" w:eastAsia="en-GB" w:bidi="ar-SA"/>
              </w:rPr>
              <w:t>no evidence</w:t>
            </w:r>
            <w:r>
              <w:rPr/>
              <w:t xml:space="preserve"> that the settlement can access major employment centres sustainably.</w:t>
            </w:r>
          </w:p>
          <w:p>
            <w:pPr>
              <w:pStyle w:val="NormalWeb"/>
              <w:bidi w:val="0"/>
              <w:spacing w:before="100" w:after="100"/>
              <w:rPr>
                <w:rFonts w:ascii="Times New Roman" w:hAnsi="Times New Roman"/>
              </w:rPr>
            </w:pPr>
            <w:r>
              <w:rPr/>
              <w:t>The allocation is:</w:t>
            </w:r>
          </w:p>
          <w:p>
            <w:pPr>
              <w:pStyle w:val="NormalWeb"/>
              <w:numPr>
                <w:ilvl w:val="0"/>
                <w:numId w:val="4"/>
              </w:numPr>
              <w:tabs>
                <w:tab w:val="left" w:pos="720" w:leader="none"/>
              </w:tabs>
              <w:bidi w:val="0"/>
              <w:spacing w:before="100" w:after="0"/>
              <w:ind w:hanging="360" w:left="720" w:right="0"/>
              <w:rPr>
                <w:rFonts w:ascii="Times New Roman" w:hAnsi="Times New Roman"/>
              </w:rPr>
            </w:pPr>
            <w:r>
              <w:rPr>
                <w:rStyle w:val="Strong"/>
                <w:lang w:val="en-GB" w:eastAsia="en-GB" w:bidi="ar-SA"/>
              </w:rPr>
              <w:t>Not Justified</w:t>
            </w:r>
            <w:r>
              <w:rPr/>
              <w:t>,</w:t>
            </w:r>
          </w:p>
          <w:p>
            <w:pPr>
              <w:pStyle w:val="NormalWeb"/>
              <w:numPr>
                <w:ilvl w:val="0"/>
                <w:numId w:val="4"/>
              </w:numPr>
              <w:tabs>
                <w:tab w:val="left" w:pos="720" w:leader="none"/>
              </w:tabs>
              <w:bidi w:val="0"/>
              <w:spacing w:before="0" w:after="0"/>
              <w:ind w:hanging="360" w:left="720" w:right="0"/>
              <w:rPr>
                <w:rFonts w:ascii="Times New Roman" w:hAnsi="Times New Roman"/>
              </w:rPr>
            </w:pPr>
            <w:r>
              <w:rPr>
                <w:rStyle w:val="Strong"/>
                <w:lang w:val="en-GB" w:eastAsia="en-GB" w:bidi="ar-SA"/>
              </w:rPr>
              <w:t>Not Effective</w:t>
            </w:r>
            <w:r>
              <w:rPr/>
              <w:t>,</w:t>
            </w:r>
          </w:p>
          <w:p>
            <w:pPr>
              <w:pStyle w:val="NormalWeb"/>
              <w:numPr>
                <w:ilvl w:val="0"/>
                <w:numId w:val="4"/>
              </w:numPr>
              <w:tabs>
                <w:tab w:val="left" w:pos="720" w:leader="none"/>
              </w:tabs>
              <w:bidi w:val="0"/>
              <w:spacing w:before="0" w:after="100"/>
              <w:ind w:hanging="360" w:left="720" w:right="0"/>
              <w:rPr>
                <w:rFonts w:ascii="Times New Roman" w:hAnsi="Times New Roman"/>
              </w:rPr>
            </w:pPr>
            <w:r>
              <w:rPr>
                <w:rStyle w:val="Strong"/>
                <w:lang w:val="en-GB" w:eastAsia="en-GB" w:bidi="ar-SA"/>
              </w:rPr>
              <w:t>Not Consistent with National Policy</w:t>
            </w:r>
            <w:r>
              <w:rPr/>
              <w:t>.</w:t>
            </w:r>
          </w:p>
          <w:p>
            <w:pPr>
              <w:pStyle w:val="NormalWeb"/>
              <w:bidi w:val="0"/>
              <w:spacing w:before="100" w:after="100"/>
              <w:rPr>
                <w:rFonts w:ascii="Times New Roman" w:hAnsi="Times New Roman"/>
              </w:rPr>
            </w:pPr>
            <w:r>
              <w:rPr/>
              <w:t>The requested modifications are essential to make the plan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roman"/>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Emphasis">
    <w:name w:val="Emphasis"/>
    <w:qFormat/>
    <w:rPr>
      <w:i/>
      <w:iCs/>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Application>LibreOffice/26.2.5.2$Windows_X86_64 LibreOffice_project/cd7284b4cbbfeb507e630c1aac019f4157393acb</Application>
  <AppVersion>15.0000</AppVersion>
  <Pages>9</Pages>
  <Words>1712</Words>
  <Characters>9334</Characters>
  <CharactersWithSpaces>10766</CharactersWithSpaces>
  <Paragraphs>230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2026-08-28T14:03:00Z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