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6"/>
        <w:gridCol w:w="1630"/>
        <w:gridCol w:w="674"/>
        <w:gridCol w:w="712"/>
        <w:gridCol w:w="283"/>
        <w:gridCol w:w="285"/>
        <w:gridCol w:w="1924"/>
        <w:gridCol w:w="1107"/>
        <w:gridCol w:w="269"/>
      </w:tblGrid>
      <w:tr>
        <w:trPr>
          <w:trHeight w:val="1104" w:hRule="atLeast"/>
          <w:cantSplit/>
        </w:trPr>
        <w:tc>
          <w:tcPr>
            <w:tcW w:w="2162"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8"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2" w:type="dxa"/>
            <w:tcBorders>
              <w:top w:val="double" w:sz="4" w:space="0" w:color="000000"/>
            </w:tcBorders>
            <w:vAlign w:val="bottom"/>
          </w:tcPr>
          <w:p>
            <w:pPr>
              <w:pStyle w:val="BodyText"/>
              <w:rPr>
                <w:rFonts w:ascii="Arial" w:hAnsi="Arial" w:cs="Arial"/>
              </w:rPr>
            </w:pPr>
            <w:r>
              <w:rPr>
                <w:rFonts w:cs="Arial" w:ascii="Arial" w:hAnsi="Arial"/>
              </w:rPr>
            </w:r>
          </w:p>
        </w:tc>
        <w:tc>
          <w:tcPr>
            <w:tcW w:w="283"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SO.3</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bidi w:val="0"/>
              <w:ind w:hanging="0" w:left="0" w:right="0"/>
              <w:rPr>
                <w:rFonts w:ascii="Times New Roman" w:hAnsi="Times New Roman"/>
              </w:rPr>
            </w:pPr>
            <w:r>
              <w:rPr/>
              <w:t>The proposed LMA development is located in the least accessible part of South Warwickshire in relation to major employment centres. The SWLP Reg 19 evidence shows that the area’s strongest functional economic relationships are with Coventry, Warwick, Leamington Spa and Stratford-upon-Avon. LMA is remote from all of these centres, lacks rail access, relies on rural roads, and is not situated on any strategic transport corridor. The plan provides no evidence that LMA can support sustainable commuting patterns or contribute to Strategic Objective 3 (jobs and economy). The allocation is therefore not justified, not effective, and not consistent with national policy.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Remove the LMA from the S</w:t>
            </w:r>
            <w:r>
              <w:rPr>
                <w:rFonts w:cs="Arial" w:ascii="Arial" w:hAnsi="Arial"/>
              </w:rPr>
              <w:t>o</w:t>
            </w:r>
            <w:r>
              <w:rPr>
                <w:rFonts w:cs="Arial" w:ascii="Arial" w:hAnsi="Arial"/>
              </w:rPr>
              <w:t>uth Warwickshire Local Plan.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Restore the planned development back to the agreed Garden Village scale.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Segoe UI" w:cs="Tahoma"/>
      <w:b/>
      <w:bCs/>
      <w:sz w:val="48"/>
      <w:szCs w:val="48"/>
    </w:rPr>
  </w:style>
  <w:style w:type="paragraph" w:styleId="Heading2">
    <w:name w:val="heading 2"/>
    <w:basedOn w:val="Heading"/>
    <w:next w:val="BodyText"/>
    <w:qFormat/>
    <w:pPr>
      <w:numPr>
        <w:ilvl w:val="0"/>
        <w:numId w:val="0"/>
      </w:num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Bulletsuser">
    <w:name w:val="Bullets (user)"/>
    <w:qFormat/>
    <w:rPr>
      <w:rFonts w:ascii="OpenSymbol" w:hAnsi="OpenSymbol" w:eastAsia="OpenSymbol" w:cs="OpenSymbol"/>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Application>LibreOffice/26.2.5.2$Windows_X86_64 LibreOffice_project/cd7284b4cbbfeb507e630c1aac019f4157393acb</Application>
  <AppVersion>15.0000</AppVersion>
  <Pages>5</Pages>
  <Words>952</Words>
  <Characters>5092</Characters>
  <CharactersWithSpaces>5977</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2026-08-28T21:53:01Z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