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5"/>
        <w:gridCol w:w="1631"/>
        <w:gridCol w:w="674"/>
        <w:gridCol w:w="711"/>
        <w:gridCol w:w="284"/>
        <w:gridCol w:w="285"/>
        <w:gridCol w:w="1924"/>
        <w:gridCol w:w="1107"/>
        <w:gridCol w:w="269"/>
      </w:tblGrid>
      <w:tr>
        <w:trPr>
          <w:trHeight w:val="1104" w:hRule="atLeast"/>
          <w:cantSplit/>
        </w:trPr>
        <w:tc>
          <w:tcPr>
            <w:tcW w:w="2161"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9"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2"/>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1" w:type="dxa"/>
            <w:tcBorders>
              <w:top w:val="double" w:sz="4" w:space="0" w:color="000000"/>
            </w:tcBorders>
            <w:vAlign w:val="bottom"/>
          </w:tcPr>
          <w:p>
            <w:pPr>
              <w:pStyle w:val="BodyText"/>
              <w:rPr>
                <w:rFonts w:ascii="Arial" w:hAnsi="Arial" w:cs="Arial"/>
              </w:rPr>
            </w:pPr>
            <w:r>
              <w:rPr>
                <w:rFonts w:cs="Arial" w:ascii="Arial" w:hAnsi="Arial"/>
              </w:rPr>
            </w:r>
          </w:p>
        </w:tc>
        <w:tc>
          <w:tcPr>
            <w:tcW w:w="284"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2"/>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Fonts w:cs="Arial" w:ascii="Arial" w:hAnsi="Arial"/>
                <w:b/>
                <w:bCs/>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Fonts w:cs="Arial" w:ascii="Arial" w:hAnsi="Arial"/>
                <w:b/>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9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1387"/>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87" w:type="dxa"/>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592"/>
        <w:gridCol w:w="1228"/>
        <w:gridCol w:w="1136"/>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59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 Proposal LMA – Long Marston Airfield New Community</w:t>
            </w:r>
          </w:p>
        </w:tc>
        <w:tc>
          <w:tcPr>
            <w:tcW w:w="122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59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228" w:type="dxa"/>
            <w:tcBorders/>
          </w:tcPr>
          <w:p>
            <w:pPr>
              <w:pStyle w:val="Normal"/>
              <w:jc w:val="right"/>
              <w:rPr>
                <w:rFonts w:ascii="Arial" w:hAnsi="Arial" w:cs="Arial"/>
              </w:rPr>
            </w:pPr>
            <w:r>
              <w:rPr>
                <w:rFonts w:cs="Arial" w:ascii="Arial" w:hAnsi="Arial"/>
              </w:rPr>
            </w:r>
          </w:p>
        </w:tc>
        <w:tc>
          <w:tcPr>
            <w:tcW w:w="1136"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59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22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592" w:type="dxa"/>
            <w:tcBorders>
              <w:top w:val="single" w:sz="8" w:space="0" w:color="000000"/>
            </w:tcBorders>
          </w:tcPr>
          <w:p>
            <w:pPr>
              <w:pStyle w:val="Normal"/>
              <w:rPr>
                <w:rFonts w:ascii="Arial" w:hAnsi="Arial" w:cs="Arial"/>
              </w:rPr>
            </w:pPr>
            <w:r>
              <w:rPr>
                <w:rFonts w:cs="Arial" w:ascii="Arial" w:hAnsi="Arial"/>
              </w:rPr>
            </w:r>
          </w:p>
        </w:tc>
        <w:tc>
          <w:tcPr>
            <w:tcW w:w="1228" w:type="dxa"/>
            <w:tcBorders/>
          </w:tcPr>
          <w:p>
            <w:pPr>
              <w:pStyle w:val="Normal"/>
              <w:jc w:val="right"/>
              <w:rPr>
                <w:rFonts w:ascii="Arial" w:hAnsi="Arial" w:cs="Arial"/>
              </w:rPr>
            </w:pPr>
            <w:r>
              <w:rPr>
                <w:rFonts w:cs="Arial" w:ascii="Arial" w:hAnsi="Arial"/>
              </w:rPr>
            </w:r>
          </w:p>
        </w:tc>
        <w:tc>
          <w:tcPr>
            <w:tcW w:w="1136"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No</w:t>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No</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Web"/>
              <w:bidi w:val="0"/>
              <w:spacing w:before="100" w:after="100"/>
              <w:rPr>
                <w:rFonts w:ascii="Times New Roman" w:hAnsi="Times New Roman"/>
              </w:rPr>
            </w:pPr>
            <w:r>
              <w:rPr>
                <w:rStyle w:val="Strong"/>
                <w:lang w:val="en-GB" w:eastAsia="en-GB" w:bidi="ar-SA"/>
              </w:rPr>
              <w:t>Tests of Soundness: Not Positively Prepared • Not Justified • Not Effective • Not Consistent with National Policy</w:t>
            </w:r>
            <w:r>
              <w:rPr/>
              <w:t xml:space="preserve"> </w:t>
            </w:r>
            <w:r>
              <w:rPr>
                <w:rStyle w:val="Strong"/>
                <w:lang w:val="en-GB" w:eastAsia="en-GB" w:bidi="ar-SA"/>
              </w:rPr>
              <w:t>Legal Compliance: Failure of Duty to Cooperate (Localism Act 2011)</w:t>
            </w:r>
            <w:r>
              <w:rPr/>
              <w:t xml:space="preserve"> Ref: </w:t>
            </w:r>
            <w:r>
              <w:rPr>
                <w:rStyle w:val="Emphasis"/>
                <w:lang w:val="en-GB" w:eastAsia="en-GB" w:bidi="ar-SA"/>
              </w:rPr>
              <w:t>SWLP Reg 19 Publication Version</w:t>
            </w:r>
          </w:p>
          <w:p>
            <w:pPr>
              <w:pStyle w:val="Normal"/>
              <w:rPr>
                <w:rFonts w:ascii="Arial" w:hAnsi="Arial" w:cs="Arial"/>
              </w:rPr>
            </w:pPr>
            <w:r>
              <w:rPr>
                <w:rFonts w:cs="Arial" w:ascii="Arial" w:hAnsi="Arial"/>
              </w:rPr>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1. Summary of Representation</w:t>
            </w:r>
          </w:p>
          <w:p>
            <w:pPr>
              <w:pStyle w:val="NormalWeb"/>
              <w:bidi w:val="0"/>
              <w:spacing w:before="100" w:after="100"/>
              <w:rPr>
                <w:rFonts w:ascii="Times New Roman" w:hAnsi="Times New Roman"/>
              </w:rPr>
            </w:pPr>
            <w:r>
              <w:rPr/>
              <w:t xml:space="preserve">I object to </w:t>
            </w:r>
            <w:r>
              <w:rPr>
                <w:rStyle w:val="Strong"/>
                <w:lang w:val="en-GB" w:eastAsia="en-GB" w:bidi="ar-SA"/>
              </w:rPr>
              <w:t>Proposal LMA – Long Marston Airfield New Community</w:t>
            </w:r>
            <w:r>
              <w:rPr/>
              <w:t xml:space="preserve"> because the SWLP Reg 19 Publication Version </w:t>
            </w:r>
            <w:r>
              <w:rPr>
                <w:rStyle w:val="Strong"/>
                <w:lang w:val="en-GB" w:eastAsia="en-GB" w:bidi="ar-SA"/>
              </w:rPr>
              <w:t>fails to demonstrate cross</w:t>
              <w:noBreakHyphen/>
              <w:t>border cooperation</w:t>
            </w:r>
            <w:r>
              <w:rPr/>
              <w:t xml:space="preserve"> with Cotswold District Council, despite the fact that </w:t>
            </w:r>
            <w:r>
              <w:rPr>
                <w:rStyle w:val="Strong"/>
                <w:lang w:val="en-GB" w:eastAsia="en-GB" w:bidi="ar-SA"/>
              </w:rPr>
              <w:t>over 1,000 homes are planned for Mickleton</w:t>
            </w:r>
            <w:r>
              <w:rPr/>
              <w:t>, less than 2 miles from LMA.</w:t>
            </w:r>
          </w:p>
          <w:p>
            <w:pPr>
              <w:pStyle w:val="NormalWeb"/>
              <w:bidi w:val="0"/>
              <w:spacing w:before="100" w:after="100"/>
              <w:rPr>
                <w:rFonts w:ascii="Times New Roman" w:hAnsi="Times New Roman"/>
              </w:rPr>
            </w:pPr>
            <w:r>
              <w:rPr/>
              <w:t>The two developments:</w:t>
            </w:r>
          </w:p>
          <w:p>
            <w:pPr>
              <w:pStyle w:val="NormalWeb"/>
              <w:numPr>
                <w:ilvl w:val="0"/>
                <w:numId w:val="17"/>
              </w:numPr>
              <w:tabs>
                <w:tab w:val="left" w:pos="720" w:leader="none"/>
              </w:tabs>
              <w:bidi w:val="0"/>
              <w:spacing w:before="100" w:after="0"/>
              <w:rPr/>
            </w:pPr>
            <w:r>
              <w:rPr/>
              <w:t xml:space="preserve">affect the </w:t>
            </w:r>
            <w:r>
              <w:rPr>
                <w:rStyle w:val="Strong"/>
                <w:lang w:val="en-GB" w:eastAsia="en-GB" w:bidi="ar-SA"/>
              </w:rPr>
              <w:t>same transport corridors</w:t>
            </w:r>
          </w:p>
          <w:p>
            <w:pPr>
              <w:pStyle w:val="NormalWeb"/>
              <w:numPr>
                <w:ilvl w:val="0"/>
                <w:numId w:val="17"/>
              </w:numPr>
              <w:tabs>
                <w:tab w:val="left" w:pos="720" w:leader="none"/>
              </w:tabs>
              <w:bidi w:val="0"/>
              <w:spacing w:before="0" w:after="0"/>
              <w:rPr/>
            </w:pPr>
            <w:r>
              <w:rPr/>
              <w:t xml:space="preserve">rely on the </w:t>
            </w:r>
            <w:r>
              <w:rPr>
                <w:rStyle w:val="Strong"/>
                <w:lang w:val="en-GB" w:eastAsia="en-GB" w:bidi="ar-SA"/>
              </w:rPr>
              <w:t>same utilities networks</w:t>
            </w:r>
          </w:p>
          <w:p>
            <w:pPr>
              <w:pStyle w:val="NormalWeb"/>
              <w:numPr>
                <w:ilvl w:val="0"/>
                <w:numId w:val="17"/>
              </w:numPr>
              <w:tabs>
                <w:tab w:val="left" w:pos="720" w:leader="none"/>
              </w:tabs>
              <w:bidi w:val="0"/>
              <w:spacing w:before="0" w:after="0"/>
              <w:rPr/>
            </w:pPr>
            <w:r>
              <w:rPr/>
              <w:t xml:space="preserve">impact the </w:t>
            </w:r>
            <w:r>
              <w:rPr>
                <w:rStyle w:val="Strong"/>
                <w:lang w:val="en-GB" w:eastAsia="en-GB" w:bidi="ar-SA"/>
              </w:rPr>
              <w:t>same landscape setting</w:t>
            </w:r>
          </w:p>
          <w:p>
            <w:pPr>
              <w:pStyle w:val="NormalWeb"/>
              <w:numPr>
                <w:ilvl w:val="0"/>
                <w:numId w:val="17"/>
              </w:numPr>
              <w:tabs>
                <w:tab w:val="left" w:pos="720" w:leader="none"/>
              </w:tabs>
              <w:bidi w:val="0"/>
              <w:spacing w:before="0" w:after="0"/>
              <w:rPr/>
            </w:pPr>
            <w:r>
              <w:rPr/>
              <w:t xml:space="preserve">draw on the </w:t>
            </w:r>
            <w:r>
              <w:rPr>
                <w:rStyle w:val="Strong"/>
                <w:lang w:val="en-GB" w:eastAsia="en-GB" w:bidi="ar-SA"/>
              </w:rPr>
              <w:t>same social infrastructure</w:t>
            </w:r>
          </w:p>
          <w:p>
            <w:pPr>
              <w:pStyle w:val="NormalWeb"/>
              <w:numPr>
                <w:ilvl w:val="0"/>
                <w:numId w:val="17"/>
              </w:numPr>
              <w:tabs>
                <w:tab w:val="left" w:pos="720" w:leader="none"/>
              </w:tabs>
              <w:bidi w:val="0"/>
              <w:spacing w:before="0" w:after="100"/>
              <w:rPr>
                <w:rFonts w:ascii="Times New Roman" w:hAnsi="Times New Roman"/>
              </w:rPr>
            </w:pPr>
            <w:r>
              <w:rPr/>
              <w:t xml:space="preserve">create </w:t>
            </w:r>
            <w:r>
              <w:rPr>
                <w:rStyle w:val="Strong"/>
                <w:lang w:val="en-GB" w:eastAsia="en-GB" w:bidi="ar-SA"/>
              </w:rPr>
              <w:t>cumulative environmental impacts</w:t>
            </w:r>
          </w:p>
          <w:p>
            <w:pPr>
              <w:pStyle w:val="NormalWeb"/>
              <w:bidi w:val="0"/>
              <w:spacing w:before="100" w:after="100"/>
              <w:rPr>
                <w:rFonts w:ascii="Times New Roman" w:hAnsi="Times New Roman"/>
              </w:rPr>
            </w:pPr>
            <w:r>
              <w:rPr/>
              <w:t xml:space="preserve">Yet the SWLP provides </w:t>
            </w:r>
            <w:r>
              <w:rPr>
                <w:rStyle w:val="Strong"/>
                <w:lang w:val="en-GB" w:eastAsia="en-GB" w:bidi="ar-SA"/>
              </w:rPr>
              <w:t>no joint evidence</w:t>
            </w:r>
            <w:r>
              <w:rPr/>
              <w:t xml:space="preserve">, </w:t>
            </w:r>
            <w:r>
              <w:rPr>
                <w:rStyle w:val="Strong"/>
                <w:lang w:val="en-GB" w:eastAsia="en-GB" w:bidi="ar-SA"/>
              </w:rPr>
              <w:t>no shared modelling</w:t>
            </w:r>
            <w:r>
              <w:rPr/>
              <w:t xml:space="preserve">, and </w:t>
            </w:r>
            <w:r>
              <w:rPr>
                <w:rStyle w:val="Strong"/>
                <w:lang w:val="en-GB" w:eastAsia="en-GB" w:bidi="ar-SA"/>
              </w:rPr>
              <w:t>no coordinated strategy</w:t>
            </w:r>
            <w:r>
              <w:rPr/>
              <w:t>.</w:t>
            </w:r>
          </w:p>
          <w:p>
            <w:pPr>
              <w:pStyle w:val="NormalWeb"/>
              <w:bidi w:val="0"/>
              <w:spacing w:before="100" w:after="100"/>
              <w:rPr>
                <w:rFonts w:ascii="Times New Roman" w:hAnsi="Times New Roman"/>
              </w:rPr>
            </w:pPr>
            <w:r>
              <w:rPr/>
              <w:t xml:space="preserve">This is a </w:t>
            </w:r>
            <w:r>
              <w:rPr>
                <w:rStyle w:val="Strong"/>
                <w:lang w:val="en-GB" w:eastAsia="en-GB" w:bidi="ar-SA"/>
              </w:rPr>
              <w:t>failure of legal compliance</w:t>
            </w:r>
            <w:r>
              <w:rPr/>
              <w:t xml:space="preserve"> (Duty to Cooperate) and renders the plan </w:t>
            </w:r>
            <w:r>
              <w:rPr>
                <w:rStyle w:val="Strong"/>
                <w:lang w:val="en-GB" w:eastAsia="en-GB" w:bidi="ar-SA"/>
              </w:rPr>
              <w:t>unsound</w:t>
            </w:r>
            <w:r>
              <w:rPr/>
              <w:t>.</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2. Why Mickleton + LMA must be assessed together</w:t>
            </w:r>
          </w:p>
          <w:p>
            <w:pPr>
              <w:pStyle w:val="NormalWeb"/>
              <w:bidi w:val="0"/>
              <w:spacing w:before="100" w:after="100"/>
              <w:rPr>
                <w:rFonts w:ascii="Times New Roman" w:hAnsi="Times New Roman"/>
              </w:rPr>
            </w:pPr>
            <w:r>
              <w:rPr/>
              <w:t xml:space="preserve">Mickleton (Cotswold District) is planning </w:t>
            </w:r>
            <w:r>
              <w:rPr>
                <w:rStyle w:val="Strong"/>
                <w:lang w:val="en-GB" w:eastAsia="en-GB" w:bidi="ar-SA"/>
              </w:rPr>
              <w:t>1,000+ homes</w:t>
            </w:r>
            <w:r>
              <w:rPr/>
              <w:t xml:space="preserve"> through its own Local Plan review.</w:t>
            </w:r>
          </w:p>
          <w:p>
            <w:pPr>
              <w:pStyle w:val="NormalWeb"/>
              <w:bidi w:val="0"/>
              <w:spacing w:before="100" w:after="100"/>
              <w:rPr>
                <w:rFonts w:ascii="Times New Roman" w:hAnsi="Times New Roman"/>
              </w:rPr>
            </w:pPr>
            <w:r>
              <w:rPr/>
              <w:t xml:space="preserve">LMA (South Warwickshire) proposes </w:t>
            </w:r>
            <w:r>
              <w:rPr>
                <w:rStyle w:val="Strong"/>
                <w:lang w:val="en-GB" w:eastAsia="en-GB" w:bidi="ar-SA"/>
              </w:rPr>
              <w:t>4,000+ homes</w:t>
            </w:r>
            <w:r>
              <w:rPr/>
              <w:t>.</w:t>
            </w:r>
          </w:p>
          <w:p>
            <w:pPr>
              <w:pStyle w:val="NormalWeb"/>
              <w:bidi w:val="0"/>
              <w:spacing w:before="100" w:after="100"/>
              <w:rPr>
                <w:rFonts w:ascii="Times New Roman" w:hAnsi="Times New Roman"/>
              </w:rPr>
            </w:pPr>
            <w:r>
              <w:rPr/>
              <w:t xml:space="preserve">Together, this creates a </w:t>
            </w:r>
            <w:r>
              <w:rPr>
                <w:rStyle w:val="Strong"/>
                <w:lang w:val="en-GB" w:eastAsia="en-GB" w:bidi="ar-SA"/>
              </w:rPr>
              <w:t>5,000+ home cluster</w:t>
            </w:r>
            <w:r>
              <w:rPr/>
              <w:t xml:space="preserve"> on the Warwickshire–Gloucestershire border.</w:t>
            </w:r>
          </w:p>
          <w:p>
            <w:pPr>
              <w:pStyle w:val="NormalWeb"/>
              <w:bidi w:val="0"/>
              <w:spacing w:before="100" w:after="100"/>
              <w:rPr>
                <w:rFonts w:ascii="Times New Roman" w:hAnsi="Times New Roman"/>
              </w:rPr>
            </w:pPr>
            <w:r>
              <w:rPr/>
              <w:t>This scale of growth requires:</w:t>
            </w:r>
          </w:p>
          <w:p>
            <w:pPr>
              <w:pStyle w:val="NormalWeb"/>
              <w:numPr>
                <w:ilvl w:val="0"/>
                <w:numId w:val="18"/>
              </w:numPr>
              <w:tabs>
                <w:tab w:val="left" w:pos="720" w:leader="none"/>
              </w:tabs>
              <w:bidi w:val="0"/>
              <w:spacing w:before="100" w:after="0"/>
              <w:rPr/>
            </w:pPr>
            <w:r>
              <w:rPr/>
              <w:t>joint transport modelling</w:t>
            </w:r>
          </w:p>
          <w:p>
            <w:pPr>
              <w:pStyle w:val="NormalWeb"/>
              <w:numPr>
                <w:ilvl w:val="0"/>
                <w:numId w:val="18"/>
              </w:numPr>
              <w:tabs>
                <w:tab w:val="left" w:pos="720" w:leader="none"/>
              </w:tabs>
              <w:bidi w:val="0"/>
              <w:spacing w:before="0" w:after="0"/>
              <w:rPr/>
            </w:pPr>
            <w:r>
              <w:rPr/>
              <w:t>joint utilities planning</w:t>
            </w:r>
          </w:p>
          <w:p>
            <w:pPr>
              <w:pStyle w:val="NormalWeb"/>
              <w:numPr>
                <w:ilvl w:val="0"/>
                <w:numId w:val="18"/>
              </w:numPr>
              <w:tabs>
                <w:tab w:val="left" w:pos="720" w:leader="none"/>
              </w:tabs>
              <w:bidi w:val="0"/>
              <w:spacing w:before="0" w:after="0"/>
              <w:rPr/>
            </w:pPr>
            <w:r>
              <w:rPr/>
              <w:t>joint landscape assessment</w:t>
            </w:r>
          </w:p>
          <w:p>
            <w:pPr>
              <w:pStyle w:val="NormalWeb"/>
              <w:numPr>
                <w:ilvl w:val="0"/>
                <w:numId w:val="18"/>
              </w:numPr>
              <w:tabs>
                <w:tab w:val="left" w:pos="720" w:leader="none"/>
              </w:tabs>
              <w:bidi w:val="0"/>
              <w:spacing w:before="0" w:after="0"/>
              <w:rPr/>
            </w:pPr>
            <w:r>
              <w:rPr/>
              <w:t>joint environmental mitigation</w:t>
            </w:r>
          </w:p>
          <w:p>
            <w:pPr>
              <w:pStyle w:val="NormalWeb"/>
              <w:numPr>
                <w:ilvl w:val="0"/>
                <w:numId w:val="18"/>
              </w:numPr>
              <w:tabs>
                <w:tab w:val="left" w:pos="720" w:leader="none"/>
              </w:tabs>
              <w:bidi w:val="0"/>
              <w:spacing w:before="0" w:after="0"/>
              <w:rPr/>
            </w:pPr>
            <w:r>
              <w:rPr/>
              <w:t>joint infrastructure delivery</w:t>
            </w:r>
          </w:p>
          <w:p>
            <w:pPr>
              <w:pStyle w:val="NormalWeb"/>
              <w:numPr>
                <w:ilvl w:val="0"/>
                <w:numId w:val="18"/>
              </w:numPr>
              <w:tabs>
                <w:tab w:val="left" w:pos="720" w:leader="none"/>
              </w:tabs>
              <w:bidi w:val="0"/>
              <w:spacing w:before="0" w:after="0"/>
              <w:rPr/>
            </w:pPr>
            <w:r>
              <w:rPr/>
              <w:t>joint phasing</w:t>
            </w:r>
          </w:p>
          <w:p>
            <w:pPr>
              <w:pStyle w:val="NormalWeb"/>
              <w:numPr>
                <w:ilvl w:val="0"/>
                <w:numId w:val="18"/>
              </w:numPr>
              <w:tabs>
                <w:tab w:val="left" w:pos="720" w:leader="none"/>
              </w:tabs>
              <w:bidi w:val="0"/>
              <w:spacing w:before="0" w:after="100"/>
              <w:rPr>
                <w:rFonts w:ascii="Times New Roman" w:hAnsi="Times New Roman"/>
              </w:rPr>
            </w:pPr>
            <w:r>
              <w:rPr/>
              <w:t>joint monitoring</w:t>
            </w:r>
          </w:p>
          <w:p>
            <w:pPr>
              <w:pStyle w:val="NormalWeb"/>
              <w:bidi w:val="0"/>
              <w:spacing w:before="100" w:after="100"/>
              <w:rPr>
                <w:rFonts w:ascii="Times New Roman" w:hAnsi="Times New Roman"/>
              </w:rPr>
            </w:pPr>
            <w:r>
              <w:rPr/>
              <w:t>None of this exists in the SWLP Reg 19 evidence base.</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 Failure of Legal Compliance – Duty to Cooperate (Localism Act 2011)</w:t>
            </w:r>
          </w:p>
          <w:p>
            <w:pPr>
              <w:pStyle w:val="NormalWeb"/>
              <w:bidi w:val="0"/>
              <w:spacing w:before="100" w:after="100"/>
              <w:rPr>
                <w:rFonts w:ascii="Times New Roman" w:hAnsi="Times New Roman"/>
              </w:rPr>
            </w:pPr>
            <w:r>
              <w:rPr/>
              <w:t>The Duty to Cooperate requires:</w:t>
            </w:r>
          </w:p>
          <w:p>
            <w:pPr>
              <w:pStyle w:val="NormalWeb"/>
              <w:numPr>
                <w:ilvl w:val="0"/>
                <w:numId w:val="3"/>
              </w:numPr>
              <w:tabs>
                <w:tab w:val="left" w:pos="720" w:leader="none"/>
              </w:tabs>
              <w:bidi w:val="0"/>
              <w:spacing w:before="100" w:after="0"/>
              <w:ind w:hanging="360" w:left="720" w:right="0"/>
              <w:rPr>
                <w:rFonts w:ascii="Times New Roman" w:hAnsi="Times New Roman"/>
              </w:rPr>
            </w:pPr>
            <w:r>
              <w:rPr>
                <w:rStyle w:val="Strong"/>
                <w:lang w:val="en-GB" w:eastAsia="en-GB" w:bidi="ar-SA"/>
              </w:rPr>
              <w:t>active</w:t>
            </w:r>
            <w:r>
              <w:rPr/>
              <w:t xml:space="preserve">, </w:t>
            </w:r>
            <w:r>
              <w:rPr>
                <w:rStyle w:val="Strong"/>
                <w:lang w:val="en-GB" w:eastAsia="en-GB" w:bidi="ar-SA"/>
              </w:rPr>
              <w:t>ongoing</w:t>
            </w:r>
            <w:r>
              <w:rPr/>
              <w:t xml:space="preserve">, and </w:t>
            </w:r>
            <w:r>
              <w:rPr>
                <w:rStyle w:val="Strong"/>
                <w:lang w:val="en-GB" w:eastAsia="en-GB" w:bidi="ar-SA"/>
              </w:rPr>
              <w:t>constructive</w:t>
            </w:r>
            <w:r>
              <w:rPr/>
              <w:t xml:space="preserve"> engagement</w:t>
            </w:r>
          </w:p>
          <w:p>
            <w:pPr>
              <w:pStyle w:val="NormalWeb"/>
              <w:numPr>
                <w:ilvl w:val="0"/>
                <w:numId w:val="3"/>
              </w:numPr>
              <w:tabs>
                <w:tab w:val="left" w:pos="720" w:leader="none"/>
              </w:tabs>
              <w:bidi w:val="0"/>
              <w:spacing w:before="0" w:after="0"/>
              <w:ind w:hanging="360" w:left="720" w:right="0"/>
              <w:rPr>
                <w:rFonts w:ascii="Times New Roman" w:hAnsi="Times New Roman"/>
              </w:rPr>
            </w:pPr>
            <w:r>
              <w:rPr>
                <w:rStyle w:val="Strong"/>
                <w:lang w:val="en-GB" w:eastAsia="en-GB" w:bidi="ar-SA"/>
              </w:rPr>
              <w:t>joint evidence</w:t>
            </w:r>
          </w:p>
          <w:p>
            <w:pPr>
              <w:pStyle w:val="NormalWeb"/>
              <w:numPr>
                <w:ilvl w:val="0"/>
                <w:numId w:val="3"/>
              </w:numPr>
              <w:tabs>
                <w:tab w:val="left" w:pos="720" w:leader="none"/>
              </w:tabs>
              <w:bidi w:val="0"/>
              <w:spacing w:before="0" w:after="0"/>
              <w:ind w:hanging="360" w:left="720" w:right="0"/>
              <w:rPr>
                <w:rFonts w:ascii="Times New Roman" w:hAnsi="Times New Roman"/>
              </w:rPr>
            </w:pPr>
            <w:r>
              <w:rPr>
                <w:rStyle w:val="Strong"/>
                <w:lang w:val="en-GB" w:eastAsia="en-GB" w:bidi="ar-SA"/>
              </w:rPr>
              <w:t>shared strategies</w:t>
            </w:r>
          </w:p>
          <w:p>
            <w:pPr>
              <w:pStyle w:val="NormalWeb"/>
              <w:numPr>
                <w:ilvl w:val="0"/>
                <w:numId w:val="3"/>
              </w:numPr>
              <w:tabs>
                <w:tab w:val="left" w:pos="720" w:leader="none"/>
              </w:tabs>
              <w:bidi w:val="0"/>
              <w:spacing w:before="0" w:after="0"/>
              <w:ind w:hanging="360" w:left="720" w:right="0"/>
              <w:rPr>
                <w:rFonts w:ascii="Times New Roman" w:hAnsi="Times New Roman"/>
              </w:rPr>
            </w:pPr>
            <w:r>
              <w:rPr>
                <w:rStyle w:val="Strong"/>
                <w:lang w:val="en-GB" w:eastAsia="en-GB" w:bidi="ar-SA"/>
              </w:rPr>
              <w:t>cross</w:t>
              <w:noBreakHyphen/>
              <w:t>boundary solutions</w:t>
            </w:r>
          </w:p>
          <w:p>
            <w:pPr>
              <w:pStyle w:val="NormalWeb"/>
              <w:numPr>
                <w:ilvl w:val="0"/>
                <w:numId w:val="3"/>
              </w:numPr>
              <w:tabs>
                <w:tab w:val="left" w:pos="720" w:leader="none"/>
              </w:tabs>
              <w:bidi w:val="0"/>
              <w:spacing w:before="0" w:after="100"/>
              <w:ind w:hanging="360" w:left="720" w:right="0"/>
              <w:rPr>
                <w:rFonts w:ascii="Times New Roman" w:hAnsi="Times New Roman"/>
              </w:rPr>
            </w:pPr>
            <w:r>
              <w:rPr>
                <w:rStyle w:val="Strong"/>
                <w:lang w:val="en-GB" w:eastAsia="en-GB" w:bidi="ar-SA"/>
              </w:rPr>
              <w:t>formal cooperation records</w:t>
            </w:r>
          </w:p>
          <w:p>
            <w:pPr>
              <w:pStyle w:val="NormalWeb"/>
              <w:bidi w:val="0"/>
              <w:spacing w:before="100" w:after="100"/>
              <w:rPr>
                <w:rFonts w:ascii="Times New Roman" w:hAnsi="Times New Roman"/>
              </w:rPr>
            </w:pPr>
            <w:r>
              <w:rPr/>
              <w:t>The SWLP Reg 19 provides:</w:t>
            </w:r>
          </w:p>
          <w:p>
            <w:pPr>
              <w:pStyle w:val="NormalWeb"/>
              <w:numPr>
                <w:ilvl w:val="0"/>
                <w:numId w:val="4"/>
              </w:numPr>
              <w:tabs>
                <w:tab w:val="left" w:pos="720" w:leader="none"/>
              </w:tabs>
              <w:bidi w:val="0"/>
              <w:spacing w:before="100" w:after="0"/>
              <w:ind w:hanging="360" w:left="720" w:right="0"/>
              <w:rPr>
                <w:rFonts w:ascii="Times New Roman" w:hAnsi="Times New Roman"/>
              </w:rPr>
            </w:pPr>
            <w:r>
              <w:rPr/>
              <w:t>no joint transport modelling with Cotswold District</w:t>
            </w:r>
          </w:p>
          <w:p>
            <w:pPr>
              <w:pStyle w:val="NormalWeb"/>
              <w:numPr>
                <w:ilvl w:val="0"/>
                <w:numId w:val="4"/>
              </w:numPr>
              <w:tabs>
                <w:tab w:val="left" w:pos="720" w:leader="none"/>
              </w:tabs>
              <w:bidi w:val="0"/>
              <w:spacing w:before="0" w:after="0"/>
              <w:ind w:hanging="360" w:left="720" w:right="0"/>
              <w:rPr>
                <w:rFonts w:ascii="Times New Roman" w:hAnsi="Times New Roman"/>
              </w:rPr>
            </w:pPr>
            <w:r>
              <w:rPr/>
              <w:t>no joint utilities capacity assessment</w:t>
            </w:r>
          </w:p>
          <w:p>
            <w:pPr>
              <w:pStyle w:val="NormalWeb"/>
              <w:numPr>
                <w:ilvl w:val="0"/>
                <w:numId w:val="4"/>
              </w:numPr>
              <w:tabs>
                <w:tab w:val="left" w:pos="720" w:leader="none"/>
              </w:tabs>
              <w:bidi w:val="0"/>
              <w:spacing w:before="0" w:after="0"/>
              <w:ind w:hanging="360" w:left="720" w:right="0"/>
              <w:rPr>
                <w:rFonts w:ascii="Times New Roman" w:hAnsi="Times New Roman"/>
              </w:rPr>
            </w:pPr>
            <w:r>
              <w:rPr/>
              <w:t>no joint wastewater strategy</w:t>
            </w:r>
          </w:p>
          <w:p>
            <w:pPr>
              <w:pStyle w:val="NormalWeb"/>
              <w:numPr>
                <w:ilvl w:val="0"/>
                <w:numId w:val="4"/>
              </w:numPr>
              <w:tabs>
                <w:tab w:val="left" w:pos="720" w:leader="none"/>
              </w:tabs>
              <w:bidi w:val="0"/>
              <w:spacing w:before="0" w:after="0"/>
              <w:ind w:hanging="360" w:left="720" w:right="0"/>
              <w:rPr>
                <w:rFonts w:ascii="Times New Roman" w:hAnsi="Times New Roman"/>
              </w:rPr>
            </w:pPr>
            <w:r>
              <w:rPr/>
              <w:t>no joint landscape sensitivity study</w:t>
            </w:r>
          </w:p>
          <w:p>
            <w:pPr>
              <w:pStyle w:val="NormalWeb"/>
              <w:numPr>
                <w:ilvl w:val="0"/>
                <w:numId w:val="4"/>
              </w:numPr>
              <w:tabs>
                <w:tab w:val="left" w:pos="720" w:leader="none"/>
              </w:tabs>
              <w:bidi w:val="0"/>
              <w:spacing w:before="0" w:after="0"/>
              <w:ind w:hanging="360" w:left="720" w:right="0"/>
              <w:rPr>
                <w:rFonts w:ascii="Times New Roman" w:hAnsi="Times New Roman"/>
              </w:rPr>
            </w:pPr>
            <w:r>
              <w:rPr/>
              <w:t>no joint AONB setting assessment</w:t>
            </w:r>
          </w:p>
          <w:p>
            <w:pPr>
              <w:pStyle w:val="NormalWeb"/>
              <w:numPr>
                <w:ilvl w:val="0"/>
                <w:numId w:val="4"/>
              </w:numPr>
              <w:tabs>
                <w:tab w:val="left" w:pos="720" w:leader="none"/>
              </w:tabs>
              <w:bidi w:val="0"/>
              <w:spacing w:before="0" w:after="0"/>
              <w:ind w:hanging="360" w:left="720" w:right="0"/>
              <w:rPr>
                <w:rFonts w:ascii="Times New Roman" w:hAnsi="Times New Roman"/>
              </w:rPr>
            </w:pPr>
            <w:r>
              <w:rPr/>
              <w:t>no joint infrastructure delivery plan</w:t>
            </w:r>
          </w:p>
          <w:p>
            <w:pPr>
              <w:pStyle w:val="NormalWeb"/>
              <w:numPr>
                <w:ilvl w:val="0"/>
                <w:numId w:val="4"/>
              </w:numPr>
              <w:tabs>
                <w:tab w:val="left" w:pos="720" w:leader="none"/>
              </w:tabs>
              <w:bidi w:val="0"/>
              <w:spacing w:before="0" w:after="0"/>
              <w:ind w:hanging="360" w:left="720" w:right="0"/>
              <w:rPr>
                <w:rFonts w:ascii="Times New Roman" w:hAnsi="Times New Roman"/>
              </w:rPr>
            </w:pPr>
            <w:r>
              <w:rPr/>
              <w:t>no joint phasing strategy</w:t>
            </w:r>
          </w:p>
          <w:p>
            <w:pPr>
              <w:pStyle w:val="NormalWeb"/>
              <w:numPr>
                <w:ilvl w:val="0"/>
                <w:numId w:val="4"/>
              </w:numPr>
              <w:tabs>
                <w:tab w:val="left" w:pos="720" w:leader="none"/>
              </w:tabs>
              <w:bidi w:val="0"/>
              <w:spacing w:before="0" w:after="0"/>
              <w:ind w:hanging="360" w:left="720" w:right="0"/>
              <w:rPr>
                <w:rFonts w:ascii="Times New Roman" w:hAnsi="Times New Roman"/>
              </w:rPr>
            </w:pPr>
            <w:r>
              <w:rPr/>
              <w:t>no joint monitoring framework</w:t>
            </w:r>
          </w:p>
          <w:p>
            <w:pPr>
              <w:pStyle w:val="NormalWeb"/>
              <w:numPr>
                <w:ilvl w:val="0"/>
                <w:numId w:val="4"/>
              </w:numPr>
              <w:tabs>
                <w:tab w:val="left" w:pos="720" w:leader="none"/>
              </w:tabs>
              <w:bidi w:val="0"/>
              <w:spacing w:before="0" w:after="100"/>
              <w:ind w:hanging="360" w:left="720" w:right="0"/>
              <w:rPr>
                <w:rFonts w:ascii="Times New Roman" w:hAnsi="Times New Roman"/>
              </w:rPr>
            </w:pPr>
            <w:r>
              <w:rPr/>
              <w:t>no evidence of formal cooperation on Mickleton</w:t>
            </w:r>
          </w:p>
          <w:p>
            <w:pPr>
              <w:pStyle w:val="NormalWeb"/>
              <w:bidi w:val="0"/>
              <w:spacing w:before="100" w:after="100"/>
              <w:rPr>
                <w:rFonts w:ascii="Times New Roman" w:hAnsi="Times New Roman"/>
              </w:rPr>
            </w:pPr>
            <w:r>
              <w:rPr/>
              <w:t xml:space="preserve">This is a </w:t>
            </w:r>
            <w:r>
              <w:rPr>
                <w:rStyle w:val="Strong"/>
                <w:lang w:val="en-GB" w:eastAsia="en-GB" w:bidi="ar-SA"/>
              </w:rPr>
              <w:t>clear failure of legal compliance</w:t>
            </w:r>
            <w:r>
              <w:rPr/>
              <w:t>.</w:t>
            </w:r>
          </w:p>
          <w:p>
            <w:pPr>
              <w:pStyle w:val="NormalWeb"/>
              <w:bidi w:val="0"/>
              <w:spacing w:before="100" w:after="100"/>
              <w:rPr>
                <w:rFonts w:ascii="Times New Roman" w:hAnsi="Times New Roman"/>
              </w:rPr>
            </w:pPr>
            <w:r>
              <w:rPr/>
              <w:t xml:space="preserve">A plan that fails the Duty to Cooperate </w:t>
            </w:r>
            <w:r>
              <w:rPr>
                <w:rStyle w:val="Strong"/>
                <w:lang w:val="en-GB" w:eastAsia="en-GB" w:bidi="ar-SA"/>
              </w:rPr>
              <w:t>cannot be adopted</w:t>
            </w:r>
            <w:r>
              <w:rPr/>
              <w:t>.</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 Failure of Soundness – Not Justified (NPPF §31, §35)</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4.1 No cumulative transport modelling</w:t>
            </w:r>
          </w:p>
          <w:p>
            <w:pPr>
              <w:pStyle w:val="NormalWeb"/>
              <w:bidi w:val="0"/>
              <w:spacing w:before="100" w:after="100"/>
              <w:rPr>
                <w:rFonts w:ascii="Times New Roman" w:hAnsi="Times New Roman"/>
              </w:rPr>
            </w:pPr>
            <w:r>
              <w:rPr/>
              <w:t>Mickleton + LMA will jointly impact:</w:t>
            </w:r>
          </w:p>
          <w:p>
            <w:pPr>
              <w:pStyle w:val="NormalWeb"/>
              <w:numPr>
                <w:ilvl w:val="0"/>
                <w:numId w:val="5"/>
              </w:numPr>
              <w:tabs>
                <w:tab w:val="left" w:pos="720" w:leader="none"/>
              </w:tabs>
              <w:bidi w:val="0"/>
              <w:spacing w:before="100" w:after="0"/>
              <w:ind w:hanging="360" w:left="720" w:right="0"/>
              <w:rPr>
                <w:rFonts w:ascii="Times New Roman" w:hAnsi="Times New Roman"/>
              </w:rPr>
            </w:pPr>
            <w:r>
              <w:rPr/>
              <w:t>B4632</w:t>
            </w:r>
          </w:p>
          <w:p>
            <w:pPr>
              <w:pStyle w:val="NormalWeb"/>
              <w:numPr>
                <w:ilvl w:val="0"/>
                <w:numId w:val="5"/>
              </w:numPr>
              <w:tabs>
                <w:tab w:val="left" w:pos="720" w:leader="none"/>
              </w:tabs>
              <w:bidi w:val="0"/>
              <w:spacing w:before="0" w:after="0"/>
              <w:ind w:hanging="360" w:left="720" w:right="0"/>
              <w:rPr>
                <w:rFonts w:ascii="Times New Roman" w:hAnsi="Times New Roman"/>
              </w:rPr>
            </w:pPr>
            <w:r>
              <w:rPr/>
              <w:t>Campden Road</w:t>
            </w:r>
          </w:p>
          <w:p>
            <w:pPr>
              <w:pStyle w:val="NormalWeb"/>
              <w:numPr>
                <w:ilvl w:val="0"/>
                <w:numId w:val="5"/>
              </w:numPr>
              <w:tabs>
                <w:tab w:val="left" w:pos="720" w:leader="none"/>
              </w:tabs>
              <w:bidi w:val="0"/>
              <w:spacing w:before="0" w:after="0"/>
              <w:ind w:hanging="360" w:left="720" w:right="0"/>
              <w:rPr>
                <w:rFonts w:ascii="Times New Roman" w:hAnsi="Times New Roman"/>
              </w:rPr>
            </w:pPr>
            <w:r>
              <w:rPr/>
              <w:t>Stratford southern approaches</w:t>
            </w:r>
          </w:p>
          <w:p>
            <w:pPr>
              <w:pStyle w:val="NormalWeb"/>
              <w:numPr>
                <w:ilvl w:val="0"/>
                <w:numId w:val="5"/>
              </w:numPr>
              <w:tabs>
                <w:tab w:val="left" w:pos="720" w:leader="none"/>
              </w:tabs>
              <w:bidi w:val="0"/>
              <w:spacing w:before="0" w:after="0"/>
              <w:ind w:hanging="360" w:left="720" w:right="0"/>
              <w:rPr>
                <w:rFonts w:ascii="Times New Roman" w:hAnsi="Times New Roman"/>
              </w:rPr>
            </w:pPr>
            <w:r>
              <w:rPr/>
              <w:t>A46 corridor</w:t>
            </w:r>
          </w:p>
          <w:p>
            <w:pPr>
              <w:pStyle w:val="NormalWeb"/>
              <w:numPr>
                <w:ilvl w:val="0"/>
                <w:numId w:val="5"/>
              </w:numPr>
              <w:tabs>
                <w:tab w:val="left" w:pos="720" w:leader="none"/>
              </w:tabs>
              <w:bidi w:val="0"/>
              <w:spacing w:before="0" w:after="0"/>
              <w:ind w:hanging="360" w:left="720" w:right="0"/>
              <w:rPr>
                <w:rFonts w:ascii="Times New Roman" w:hAnsi="Times New Roman"/>
              </w:rPr>
            </w:pPr>
            <w:r>
              <w:rPr/>
              <w:t>A44 corridor</w:t>
            </w:r>
          </w:p>
          <w:p>
            <w:pPr>
              <w:pStyle w:val="NormalWeb"/>
              <w:numPr>
                <w:ilvl w:val="0"/>
                <w:numId w:val="5"/>
              </w:numPr>
              <w:tabs>
                <w:tab w:val="left" w:pos="720" w:leader="none"/>
              </w:tabs>
              <w:bidi w:val="0"/>
              <w:spacing w:before="0" w:after="0"/>
              <w:ind w:hanging="360" w:left="720" w:right="0"/>
              <w:rPr>
                <w:rFonts w:ascii="Times New Roman" w:hAnsi="Times New Roman"/>
              </w:rPr>
            </w:pPr>
            <w:r>
              <w:rPr/>
              <w:t>Cotswolds AONB setting</w:t>
            </w:r>
          </w:p>
          <w:p>
            <w:pPr>
              <w:pStyle w:val="NormalWeb"/>
              <w:numPr>
                <w:ilvl w:val="0"/>
                <w:numId w:val="5"/>
              </w:numPr>
              <w:tabs>
                <w:tab w:val="left" w:pos="720" w:leader="none"/>
              </w:tabs>
              <w:bidi w:val="0"/>
              <w:spacing w:before="0" w:after="100"/>
              <w:ind w:hanging="360" w:left="720" w:right="0"/>
              <w:rPr>
                <w:rFonts w:ascii="Times New Roman" w:hAnsi="Times New Roman"/>
              </w:rPr>
            </w:pPr>
            <w:r>
              <w:rPr/>
              <w:t>rural lanes between the settlements</w:t>
            </w:r>
          </w:p>
          <w:p>
            <w:pPr>
              <w:pStyle w:val="NormalWeb"/>
              <w:bidi w:val="0"/>
              <w:spacing w:before="100" w:after="100"/>
              <w:rPr>
                <w:rFonts w:ascii="Times New Roman" w:hAnsi="Times New Roman"/>
              </w:rPr>
            </w:pPr>
            <w:r>
              <w:rPr/>
              <w:t xml:space="preserve">Yet the SWLP provides </w:t>
            </w:r>
            <w:r>
              <w:rPr>
                <w:rStyle w:val="Strong"/>
                <w:lang w:val="en-GB" w:eastAsia="en-GB" w:bidi="ar-SA"/>
              </w:rPr>
              <w:t>no cumulative modelling</w:t>
            </w:r>
            <w:r>
              <w:rPr/>
              <w:t>.</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4.2 No cumulative utilities assessment</w:t>
            </w:r>
          </w:p>
          <w:p>
            <w:pPr>
              <w:pStyle w:val="NormalWeb"/>
              <w:bidi w:val="0"/>
              <w:spacing w:before="100" w:after="100"/>
              <w:rPr>
                <w:rFonts w:ascii="Times New Roman" w:hAnsi="Times New Roman"/>
              </w:rPr>
            </w:pPr>
            <w:r>
              <w:rPr/>
              <w:t>Both settlements require:</w:t>
            </w:r>
          </w:p>
          <w:p>
            <w:pPr>
              <w:pStyle w:val="NormalWeb"/>
              <w:numPr>
                <w:ilvl w:val="0"/>
                <w:numId w:val="6"/>
              </w:numPr>
              <w:tabs>
                <w:tab w:val="left" w:pos="720" w:leader="none"/>
              </w:tabs>
              <w:bidi w:val="0"/>
              <w:spacing w:before="100" w:after="0"/>
              <w:ind w:hanging="360" w:left="720" w:right="0"/>
              <w:rPr>
                <w:rFonts w:ascii="Times New Roman" w:hAnsi="Times New Roman"/>
              </w:rPr>
            </w:pPr>
            <w:r>
              <w:rPr/>
              <w:t>electricity grid reinforcement</w:t>
            </w:r>
          </w:p>
          <w:p>
            <w:pPr>
              <w:pStyle w:val="NormalWeb"/>
              <w:numPr>
                <w:ilvl w:val="0"/>
                <w:numId w:val="6"/>
              </w:numPr>
              <w:tabs>
                <w:tab w:val="left" w:pos="720" w:leader="none"/>
              </w:tabs>
              <w:bidi w:val="0"/>
              <w:spacing w:before="0" w:after="0"/>
              <w:ind w:hanging="360" w:left="720" w:right="0"/>
              <w:rPr>
                <w:rFonts w:ascii="Times New Roman" w:hAnsi="Times New Roman"/>
              </w:rPr>
            </w:pPr>
            <w:r>
              <w:rPr/>
              <w:t>water supply upgrades</w:t>
            </w:r>
          </w:p>
          <w:p>
            <w:pPr>
              <w:pStyle w:val="NormalWeb"/>
              <w:numPr>
                <w:ilvl w:val="0"/>
                <w:numId w:val="6"/>
              </w:numPr>
              <w:tabs>
                <w:tab w:val="left" w:pos="720" w:leader="none"/>
              </w:tabs>
              <w:bidi w:val="0"/>
              <w:spacing w:before="0" w:after="0"/>
              <w:ind w:hanging="360" w:left="720" w:right="0"/>
              <w:rPr>
                <w:rFonts w:ascii="Times New Roman" w:hAnsi="Times New Roman"/>
              </w:rPr>
            </w:pPr>
            <w:r>
              <w:rPr/>
              <w:t>wastewater treatment expansion</w:t>
            </w:r>
          </w:p>
          <w:p>
            <w:pPr>
              <w:pStyle w:val="NormalWeb"/>
              <w:numPr>
                <w:ilvl w:val="0"/>
                <w:numId w:val="6"/>
              </w:numPr>
              <w:tabs>
                <w:tab w:val="left" w:pos="720" w:leader="none"/>
              </w:tabs>
              <w:bidi w:val="0"/>
              <w:spacing w:before="0" w:after="100"/>
              <w:ind w:hanging="360" w:left="720" w:right="0"/>
              <w:rPr>
                <w:rFonts w:ascii="Times New Roman" w:hAnsi="Times New Roman"/>
              </w:rPr>
            </w:pPr>
            <w:r>
              <w:rPr/>
              <w:t>digital infrastructure upgrades</w:t>
            </w:r>
          </w:p>
          <w:p>
            <w:pPr>
              <w:pStyle w:val="NormalWeb"/>
              <w:bidi w:val="0"/>
              <w:spacing w:before="100" w:after="100"/>
              <w:rPr>
                <w:rFonts w:ascii="Times New Roman" w:hAnsi="Times New Roman"/>
              </w:rPr>
            </w:pPr>
            <w:r>
              <w:rPr/>
              <w:t>No joint assessment exists.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4.3 No cumulative landscape or AONB setting assessment</w:t>
            </w:r>
          </w:p>
          <w:p>
            <w:pPr>
              <w:pStyle w:val="NormalWeb"/>
              <w:bidi w:val="0"/>
              <w:spacing w:before="100" w:after="100"/>
              <w:rPr>
                <w:rFonts w:ascii="Times New Roman" w:hAnsi="Times New Roman"/>
              </w:rPr>
            </w:pPr>
            <w:r>
              <w:rPr/>
              <w:t xml:space="preserve">Both developments sit within the </w:t>
            </w:r>
            <w:r>
              <w:rPr>
                <w:rStyle w:val="Strong"/>
                <w:lang w:val="en-GB" w:eastAsia="en-GB" w:bidi="ar-SA"/>
              </w:rPr>
              <w:t>Cotswolds escarpment view cone</w:t>
            </w:r>
            <w:r>
              <w:rPr/>
              <w:t>.</w:t>
            </w:r>
          </w:p>
          <w:p>
            <w:pPr>
              <w:pStyle w:val="NormalWeb"/>
              <w:bidi w:val="0"/>
              <w:spacing w:before="100" w:after="100"/>
              <w:rPr>
                <w:rFonts w:ascii="Times New Roman" w:hAnsi="Times New Roman"/>
              </w:rPr>
            </w:pPr>
            <w:r>
              <w:rPr/>
              <w:t>No joint landscape sensitivity study exists.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4.4 No cumulative environmental assessment</w:t>
            </w:r>
          </w:p>
          <w:p>
            <w:pPr>
              <w:pStyle w:val="NormalWeb"/>
              <w:bidi w:val="0"/>
              <w:spacing w:before="100" w:after="100"/>
              <w:rPr>
                <w:rFonts w:ascii="Times New Roman" w:hAnsi="Times New Roman"/>
              </w:rPr>
            </w:pPr>
            <w:r>
              <w:rPr/>
              <w:t>There is no:</w:t>
            </w:r>
          </w:p>
          <w:p>
            <w:pPr>
              <w:pStyle w:val="NormalWeb"/>
              <w:numPr>
                <w:ilvl w:val="0"/>
                <w:numId w:val="7"/>
              </w:numPr>
              <w:tabs>
                <w:tab w:val="left" w:pos="720" w:leader="none"/>
              </w:tabs>
              <w:bidi w:val="0"/>
              <w:spacing w:before="100" w:after="0"/>
              <w:ind w:hanging="360" w:left="720" w:right="0"/>
              <w:rPr>
                <w:rFonts w:ascii="Times New Roman" w:hAnsi="Times New Roman"/>
              </w:rPr>
            </w:pPr>
            <w:r>
              <w:rPr/>
              <w:t>joint biodiversity impact assessment</w:t>
            </w:r>
          </w:p>
          <w:p>
            <w:pPr>
              <w:pStyle w:val="NormalWeb"/>
              <w:numPr>
                <w:ilvl w:val="0"/>
                <w:numId w:val="7"/>
              </w:numPr>
              <w:tabs>
                <w:tab w:val="left" w:pos="720" w:leader="none"/>
              </w:tabs>
              <w:bidi w:val="0"/>
              <w:spacing w:before="0" w:after="0"/>
              <w:ind w:hanging="360" w:left="720" w:right="0"/>
              <w:rPr>
                <w:rFonts w:ascii="Times New Roman" w:hAnsi="Times New Roman"/>
              </w:rPr>
            </w:pPr>
            <w:r>
              <w:rPr/>
              <w:t>joint air quality modelling</w:t>
            </w:r>
          </w:p>
          <w:p>
            <w:pPr>
              <w:pStyle w:val="NormalWeb"/>
              <w:numPr>
                <w:ilvl w:val="0"/>
                <w:numId w:val="7"/>
              </w:numPr>
              <w:tabs>
                <w:tab w:val="left" w:pos="720" w:leader="none"/>
              </w:tabs>
              <w:bidi w:val="0"/>
              <w:spacing w:before="0" w:after="0"/>
              <w:ind w:hanging="360" w:left="720" w:right="0"/>
              <w:rPr>
                <w:rFonts w:ascii="Times New Roman" w:hAnsi="Times New Roman"/>
              </w:rPr>
            </w:pPr>
            <w:r>
              <w:rPr/>
              <w:t>joint carbon impact assessment</w:t>
            </w:r>
          </w:p>
          <w:p>
            <w:pPr>
              <w:pStyle w:val="NormalWeb"/>
              <w:numPr>
                <w:ilvl w:val="0"/>
                <w:numId w:val="7"/>
              </w:numPr>
              <w:tabs>
                <w:tab w:val="left" w:pos="720" w:leader="none"/>
              </w:tabs>
              <w:bidi w:val="0"/>
              <w:spacing w:before="0" w:after="100"/>
              <w:ind w:hanging="360" w:left="720" w:right="0"/>
              <w:rPr>
                <w:rFonts w:ascii="Times New Roman" w:hAnsi="Times New Roman"/>
              </w:rPr>
            </w:pPr>
            <w:r>
              <w:rPr/>
              <w:t>joint flood risk assessment</w:t>
            </w:r>
          </w:p>
          <w:p>
            <w:pPr>
              <w:pStyle w:val="NormalWeb"/>
              <w:bidi w:val="0"/>
              <w:spacing w:before="100" w:after="100"/>
              <w:rPr>
                <w:rFonts w:ascii="Times New Roman" w:hAnsi="Times New Roman"/>
              </w:rPr>
            </w:pPr>
            <w:r>
              <w:rPr/>
              <w:t>This is a breach of NPPF §31.</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5. Failure of Soundness – Not Effective (NPPF §35)</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5.1 Infrastructure cannot be delivered without cross</w:t>
              <w:noBreakHyphen/>
              <w:t>border coordination</w:t>
            </w:r>
          </w:p>
          <w:p>
            <w:pPr>
              <w:pStyle w:val="NormalWeb"/>
              <w:bidi w:val="0"/>
              <w:spacing w:before="100" w:after="100"/>
              <w:rPr>
                <w:rFonts w:ascii="Times New Roman" w:hAnsi="Times New Roman"/>
              </w:rPr>
            </w:pPr>
            <w:r>
              <w:rPr/>
              <w:t>Transport, utilities, and environmental mitigation must be coordinated across:</w:t>
            </w:r>
          </w:p>
          <w:p>
            <w:pPr>
              <w:pStyle w:val="NormalWeb"/>
              <w:numPr>
                <w:ilvl w:val="0"/>
                <w:numId w:val="8"/>
              </w:numPr>
              <w:tabs>
                <w:tab w:val="left" w:pos="720" w:leader="none"/>
              </w:tabs>
              <w:bidi w:val="0"/>
              <w:spacing w:before="100" w:after="0"/>
              <w:ind w:hanging="360" w:left="720" w:right="0"/>
              <w:rPr>
                <w:rFonts w:ascii="Times New Roman" w:hAnsi="Times New Roman"/>
              </w:rPr>
            </w:pPr>
            <w:r>
              <w:rPr/>
              <w:t>Warwickshire County Council</w:t>
            </w:r>
          </w:p>
          <w:p>
            <w:pPr>
              <w:pStyle w:val="NormalWeb"/>
              <w:numPr>
                <w:ilvl w:val="0"/>
                <w:numId w:val="8"/>
              </w:numPr>
              <w:tabs>
                <w:tab w:val="left" w:pos="720" w:leader="none"/>
              </w:tabs>
              <w:bidi w:val="0"/>
              <w:spacing w:before="0" w:after="0"/>
              <w:ind w:hanging="360" w:left="720" w:right="0"/>
              <w:rPr>
                <w:rFonts w:ascii="Times New Roman" w:hAnsi="Times New Roman"/>
              </w:rPr>
            </w:pPr>
            <w:r>
              <w:rPr/>
              <w:t>Gloucestershire County Council</w:t>
            </w:r>
          </w:p>
          <w:p>
            <w:pPr>
              <w:pStyle w:val="NormalWeb"/>
              <w:numPr>
                <w:ilvl w:val="0"/>
                <w:numId w:val="8"/>
              </w:numPr>
              <w:tabs>
                <w:tab w:val="left" w:pos="720" w:leader="none"/>
              </w:tabs>
              <w:bidi w:val="0"/>
              <w:spacing w:before="0" w:after="0"/>
              <w:ind w:hanging="360" w:left="720" w:right="0"/>
              <w:rPr>
                <w:rFonts w:ascii="Times New Roman" w:hAnsi="Times New Roman"/>
              </w:rPr>
            </w:pPr>
            <w:r>
              <w:rPr/>
              <w:t>Cotswold District Council</w:t>
            </w:r>
          </w:p>
          <w:p>
            <w:pPr>
              <w:pStyle w:val="NormalWeb"/>
              <w:numPr>
                <w:ilvl w:val="0"/>
                <w:numId w:val="8"/>
              </w:numPr>
              <w:tabs>
                <w:tab w:val="left" w:pos="720" w:leader="none"/>
              </w:tabs>
              <w:bidi w:val="0"/>
              <w:spacing w:before="0" w:after="0"/>
              <w:ind w:hanging="360" w:left="720" w:right="0"/>
              <w:rPr>
                <w:rFonts w:ascii="Times New Roman" w:hAnsi="Times New Roman"/>
              </w:rPr>
            </w:pPr>
            <w:r>
              <w:rPr/>
              <w:t>Severn Trent Water</w:t>
            </w:r>
          </w:p>
          <w:p>
            <w:pPr>
              <w:pStyle w:val="NormalWeb"/>
              <w:numPr>
                <w:ilvl w:val="0"/>
                <w:numId w:val="8"/>
              </w:numPr>
              <w:tabs>
                <w:tab w:val="left" w:pos="720" w:leader="none"/>
              </w:tabs>
              <w:bidi w:val="0"/>
              <w:spacing w:before="0" w:after="0"/>
              <w:ind w:hanging="360" w:left="720" w:right="0"/>
              <w:rPr>
                <w:rFonts w:ascii="Times New Roman" w:hAnsi="Times New Roman"/>
              </w:rPr>
            </w:pPr>
            <w:r>
              <w:rPr/>
              <w:t>National Grid</w:t>
            </w:r>
          </w:p>
          <w:p>
            <w:pPr>
              <w:pStyle w:val="NormalWeb"/>
              <w:numPr>
                <w:ilvl w:val="0"/>
                <w:numId w:val="8"/>
              </w:numPr>
              <w:tabs>
                <w:tab w:val="left" w:pos="720" w:leader="none"/>
              </w:tabs>
              <w:bidi w:val="0"/>
              <w:spacing w:before="0" w:after="100"/>
              <w:ind w:hanging="360" w:left="720" w:right="0"/>
              <w:rPr>
                <w:rFonts w:ascii="Times New Roman" w:hAnsi="Times New Roman"/>
              </w:rPr>
            </w:pPr>
            <w:r>
              <w:rPr/>
              <w:t>NHS Integrated Care Board</w:t>
            </w:r>
          </w:p>
          <w:p>
            <w:pPr>
              <w:pStyle w:val="NormalWeb"/>
              <w:bidi w:val="0"/>
              <w:spacing w:before="100" w:after="100"/>
              <w:rPr>
                <w:rFonts w:ascii="Times New Roman" w:hAnsi="Times New Roman"/>
              </w:rPr>
            </w:pPr>
            <w:r>
              <w:rPr/>
              <w:t>No coordinated strategy exists.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5.2 Risk of infrastructure overload</w:t>
            </w:r>
          </w:p>
          <w:p>
            <w:pPr>
              <w:pStyle w:val="NormalWeb"/>
              <w:bidi w:val="0"/>
              <w:spacing w:before="100" w:after="100"/>
              <w:rPr>
                <w:rFonts w:ascii="Times New Roman" w:hAnsi="Times New Roman"/>
              </w:rPr>
            </w:pPr>
            <w:r>
              <w:rPr/>
              <w:t>Without joint planning, the combined 5,000+ homes risk:</w:t>
            </w:r>
          </w:p>
          <w:p>
            <w:pPr>
              <w:pStyle w:val="NormalWeb"/>
              <w:numPr>
                <w:ilvl w:val="0"/>
                <w:numId w:val="9"/>
              </w:numPr>
              <w:tabs>
                <w:tab w:val="left" w:pos="720" w:leader="none"/>
              </w:tabs>
              <w:bidi w:val="0"/>
              <w:spacing w:before="100" w:after="0"/>
              <w:ind w:hanging="360" w:left="720" w:right="0"/>
              <w:rPr>
                <w:rFonts w:ascii="Times New Roman" w:hAnsi="Times New Roman"/>
              </w:rPr>
            </w:pPr>
            <w:r>
              <w:rPr/>
              <w:t>severe congestion</w:t>
            </w:r>
          </w:p>
          <w:p>
            <w:pPr>
              <w:pStyle w:val="NormalWeb"/>
              <w:numPr>
                <w:ilvl w:val="0"/>
                <w:numId w:val="9"/>
              </w:numPr>
              <w:tabs>
                <w:tab w:val="left" w:pos="720" w:leader="none"/>
              </w:tabs>
              <w:bidi w:val="0"/>
              <w:spacing w:before="0" w:after="0"/>
              <w:ind w:hanging="360" w:left="720" w:right="0"/>
              <w:rPr>
                <w:rFonts w:ascii="Times New Roman" w:hAnsi="Times New Roman"/>
              </w:rPr>
            </w:pPr>
            <w:r>
              <w:rPr/>
              <w:t>utilities failure</w:t>
            </w:r>
          </w:p>
          <w:p>
            <w:pPr>
              <w:pStyle w:val="NormalWeb"/>
              <w:numPr>
                <w:ilvl w:val="0"/>
                <w:numId w:val="9"/>
              </w:numPr>
              <w:tabs>
                <w:tab w:val="left" w:pos="720" w:leader="none"/>
              </w:tabs>
              <w:bidi w:val="0"/>
              <w:spacing w:before="0" w:after="0"/>
              <w:ind w:hanging="360" w:left="720" w:right="0"/>
              <w:rPr>
                <w:rFonts w:ascii="Times New Roman" w:hAnsi="Times New Roman"/>
              </w:rPr>
            </w:pPr>
            <w:r>
              <w:rPr/>
              <w:t>wastewater overloading</w:t>
            </w:r>
          </w:p>
          <w:p>
            <w:pPr>
              <w:pStyle w:val="NormalWeb"/>
              <w:numPr>
                <w:ilvl w:val="0"/>
                <w:numId w:val="9"/>
              </w:numPr>
              <w:tabs>
                <w:tab w:val="left" w:pos="720" w:leader="none"/>
              </w:tabs>
              <w:bidi w:val="0"/>
              <w:spacing w:before="0" w:after="0"/>
              <w:ind w:hanging="360" w:left="720" w:right="0"/>
              <w:rPr>
                <w:rFonts w:ascii="Times New Roman" w:hAnsi="Times New Roman"/>
              </w:rPr>
            </w:pPr>
            <w:r>
              <w:rPr/>
              <w:t>landscape harm</w:t>
            </w:r>
          </w:p>
          <w:p>
            <w:pPr>
              <w:pStyle w:val="NormalWeb"/>
              <w:numPr>
                <w:ilvl w:val="0"/>
                <w:numId w:val="9"/>
              </w:numPr>
              <w:tabs>
                <w:tab w:val="left" w:pos="720" w:leader="none"/>
              </w:tabs>
              <w:bidi w:val="0"/>
              <w:spacing w:before="0" w:after="0"/>
              <w:ind w:hanging="360" w:left="720" w:right="0"/>
              <w:rPr>
                <w:rFonts w:ascii="Times New Roman" w:hAnsi="Times New Roman"/>
              </w:rPr>
            </w:pPr>
            <w:r>
              <w:rPr/>
              <w:t>environmental degradation</w:t>
            </w:r>
          </w:p>
          <w:p>
            <w:pPr>
              <w:pStyle w:val="NormalWeb"/>
              <w:numPr>
                <w:ilvl w:val="0"/>
                <w:numId w:val="9"/>
              </w:numPr>
              <w:tabs>
                <w:tab w:val="left" w:pos="720" w:leader="none"/>
              </w:tabs>
              <w:bidi w:val="0"/>
              <w:spacing w:before="0" w:after="0"/>
              <w:ind w:hanging="360" w:left="720" w:right="0"/>
              <w:rPr>
                <w:rFonts w:ascii="Times New Roman" w:hAnsi="Times New Roman"/>
              </w:rPr>
            </w:pPr>
            <w:r>
              <w:rPr/>
              <w:t>cumulative coalescence</w:t>
            </w:r>
          </w:p>
          <w:p>
            <w:pPr>
              <w:pStyle w:val="NormalWeb"/>
              <w:numPr>
                <w:ilvl w:val="0"/>
                <w:numId w:val="9"/>
              </w:numPr>
              <w:tabs>
                <w:tab w:val="left" w:pos="720" w:leader="none"/>
              </w:tabs>
              <w:bidi w:val="0"/>
              <w:spacing w:before="0" w:after="100"/>
              <w:ind w:hanging="360" w:left="720" w:right="0"/>
              <w:rPr>
                <w:rFonts w:ascii="Times New Roman" w:hAnsi="Times New Roman"/>
              </w:rPr>
            </w:pPr>
            <w:r>
              <w:rPr/>
              <w:t>unplanned settlement sprawl</w:t>
            </w:r>
          </w:p>
          <w:p>
            <w:pPr>
              <w:pStyle w:val="NormalWeb"/>
              <w:bidi w:val="0"/>
              <w:spacing w:before="100" w:after="100"/>
              <w:rPr>
                <w:rFonts w:ascii="Times New Roman" w:hAnsi="Times New Roman"/>
              </w:rPr>
            </w:pPr>
            <w:r>
              <w:rPr/>
              <w:t xml:space="preserve">The plan is </w:t>
            </w:r>
            <w:r>
              <w:rPr>
                <w:rStyle w:val="Strong"/>
                <w:lang w:val="en-GB" w:eastAsia="en-GB" w:bidi="ar-SA"/>
              </w:rPr>
              <w:t>not effective</w:t>
            </w:r>
            <w:r>
              <w:rPr/>
              <w:t>.</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6. Failure of Soundness – Not Consistent with National Policy (NPPF §24, §176–177)</w:t>
            </w:r>
          </w:p>
          <w:p>
            <w:pPr>
              <w:pStyle w:val="NormalWeb"/>
              <w:bidi w:val="0"/>
              <w:spacing w:before="100" w:after="100"/>
              <w:rPr>
                <w:rFonts w:ascii="Times New Roman" w:hAnsi="Times New Roman"/>
              </w:rPr>
            </w:pPr>
            <w:r>
              <w:rPr/>
              <w:t>NPPF requires:</w:t>
            </w:r>
          </w:p>
          <w:p>
            <w:pPr>
              <w:pStyle w:val="NormalWeb"/>
              <w:numPr>
                <w:ilvl w:val="0"/>
                <w:numId w:val="10"/>
              </w:numPr>
              <w:tabs>
                <w:tab w:val="left" w:pos="720" w:leader="none"/>
              </w:tabs>
              <w:bidi w:val="0"/>
              <w:spacing w:before="100" w:after="0"/>
              <w:ind w:hanging="360" w:left="720" w:right="0"/>
              <w:rPr>
                <w:rFonts w:ascii="Times New Roman" w:hAnsi="Times New Roman"/>
              </w:rPr>
            </w:pPr>
            <w:r>
              <w:rPr/>
              <w:t>cross</w:t>
              <w:noBreakHyphen/>
              <w:t>boundary cooperation (§24)</w:t>
            </w:r>
          </w:p>
          <w:p>
            <w:pPr>
              <w:pStyle w:val="NormalWeb"/>
              <w:numPr>
                <w:ilvl w:val="0"/>
                <w:numId w:val="10"/>
              </w:numPr>
              <w:tabs>
                <w:tab w:val="left" w:pos="720" w:leader="none"/>
              </w:tabs>
              <w:bidi w:val="0"/>
              <w:spacing w:before="0" w:after="0"/>
              <w:ind w:hanging="360" w:left="720" w:right="0"/>
              <w:rPr>
                <w:rFonts w:ascii="Times New Roman" w:hAnsi="Times New Roman"/>
              </w:rPr>
            </w:pPr>
            <w:r>
              <w:rPr/>
              <w:t>coordinated strategic planning (§33)</w:t>
            </w:r>
          </w:p>
          <w:p>
            <w:pPr>
              <w:pStyle w:val="NormalWeb"/>
              <w:numPr>
                <w:ilvl w:val="0"/>
                <w:numId w:val="10"/>
              </w:numPr>
              <w:tabs>
                <w:tab w:val="left" w:pos="720" w:leader="none"/>
              </w:tabs>
              <w:bidi w:val="0"/>
              <w:spacing w:before="0" w:after="0"/>
              <w:ind w:hanging="360" w:left="720" w:right="0"/>
              <w:rPr>
                <w:rFonts w:ascii="Times New Roman" w:hAnsi="Times New Roman"/>
              </w:rPr>
            </w:pPr>
            <w:r>
              <w:rPr/>
              <w:t>protection of AONB setting (§176–177)</w:t>
            </w:r>
          </w:p>
          <w:p>
            <w:pPr>
              <w:pStyle w:val="NormalWeb"/>
              <w:numPr>
                <w:ilvl w:val="0"/>
                <w:numId w:val="10"/>
              </w:numPr>
              <w:tabs>
                <w:tab w:val="left" w:pos="720" w:leader="none"/>
              </w:tabs>
              <w:bidi w:val="0"/>
              <w:spacing w:before="0" w:after="100"/>
              <w:ind w:hanging="360" w:left="720" w:right="0"/>
              <w:rPr>
                <w:rFonts w:ascii="Times New Roman" w:hAnsi="Times New Roman"/>
              </w:rPr>
            </w:pPr>
            <w:r>
              <w:rPr/>
              <w:t>proportionate evidence (§31)</w:t>
            </w:r>
          </w:p>
          <w:p>
            <w:pPr>
              <w:pStyle w:val="NormalWeb"/>
              <w:bidi w:val="0"/>
              <w:spacing w:before="100" w:after="100"/>
              <w:rPr>
                <w:rFonts w:ascii="Times New Roman" w:hAnsi="Times New Roman"/>
              </w:rPr>
            </w:pPr>
            <w:r>
              <w:rPr/>
              <w:t>The SWLP does not demonstrate:</w:t>
            </w:r>
          </w:p>
          <w:p>
            <w:pPr>
              <w:pStyle w:val="NormalWeb"/>
              <w:numPr>
                <w:ilvl w:val="0"/>
                <w:numId w:val="11"/>
              </w:numPr>
              <w:tabs>
                <w:tab w:val="left" w:pos="720" w:leader="none"/>
              </w:tabs>
              <w:bidi w:val="0"/>
              <w:spacing w:before="100" w:after="0"/>
              <w:ind w:hanging="360" w:left="720" w:right="0"/>
              <w:rPr>
                <w:rFonts w:ascii="Times New Roman" w:hAnsi="Times New Roman"/>
              </w:rPr>
            </w:pPr>
            <w:r>
              <w:rPr/>
              <w:t>cooperation with Cotswold District</w:t>
            </w:r>
          </w:p>
          <w:p>
            <w:pPr>
              <w:pStyle w:val="NormalWeb"/>
              <w:numPr>
                <w:ilvl w:val="0"/>
                <w:numId w:val="11"/>
              </w:numPr>
              <w:tabs>
                <w:tab w:val="left" w:pos="720" w:leader="none"/>
              </w:tabs>
              <w:bidi w:val="0"/>
              <w:spacing w:before="0" w:after="0"/>
              <w:ind w:hanging="360" w:left="720" w:right="0"/>
              <w:rPr>
                <w:rFonts w:ascii="Times New Roman" w:hAnsi="Times New Roman"/>
              </w:rPr>
            </w:pPr>
            <w:r>
              <w:rPr/>
              <w:t>joint evidence</w:t>
            </w:r>
          </w:p>
          <w:p>
            <w:pPr>
              <w:pStyle w:val="NormalWeb"/>
              <w:numPr>
                <w:ilvl w:val="0"/>
                <w:numId w:val="11"/>
              </w:numPr>
              <w:tabs>
                <w:tab w:val="left" w:pos="720" w:leader="none"/>
              </w:tabs>
              <w:bidi w:val="0"/>
              <w:spacing w:before="0" w:after="0"/>
              <w:ind w:hanging="360" w:left="720" w:right="0"/>
              <w:rPr>
                <w:rFonts w:ascii="Times New Roman" w:hAnsi="Times New Roman"/>
              </w:rPr>
            </w:pPr>
            <w:r>
              <w:rPr/>
              <w:t>joint mitigation</w:t>
            </w:r>
          </w:p>
          <w:p>
            <w:pPr>
              <w:pStyle w:val="NormalWeb"/>
              <w:numPr>
                <w:ilvl w:val="0"/>
                <w:numId w:val="11"/>
              </w:numPr>
              <w:tabs>
                <w:tab w:val="left" w:pos="720" w:leader="none"/>
              </w:tabs>
              <w:bidi w:val="0"/>
              <w:spacing w:before="0" w:after="0"/>
              <w:ind w:hanging="360" w:left="720" w:right="0"/>
              <w:rPr>
                <w:rFonts w:ascii="Times New Roman" w:hAnsi="Times New Roman"/>
              </w:rPr>
            </w:pPr>
            <w:r>
              <w:rPr/>
              <w:t>joint infrastructure planning</w:t>
            </w:r>
          </w:p>
          <w:p>
            <w:pPr>
              <w:pStyle w:val="NormalWeb"/>
              <w:numPr>
                <w:ilvl w:val="0"/>
                <w:numId w:val="11"/>
              </w:numPr>
              <w:tabs>
                <w:tab w:val="left" w:pos="720" w:leader="none"/>
              </w:tabs>
              <w:bidi w:val="0"/>
              <w:spacing w:before="0" w:after="100"/>
              <w:ind w:hanging="360" w:left="720" w:right="0"/>
              <w:rPr>
                <w:rFonts w:ascii="Times New Roman" w:hAnsi="Times New Roman"/>
              </w:rPr>
            </w:pPr>
            <w:r>
              <w:rPr/>
              <w:t>joint landscape protection</w:t>
            </w:r>
          </w:p>
          <w:p>
            <w:pPr>
              <w:pStyle w:val="NormalWeb"/>
              <w:bidi w:val="0"/>
              <w:spacing w:before="100" w:after="100"/>
              <w:rPr>
                <w:rFonts w:ascii="Times New Roman" w:hAnsi="Times New Roman"/>
              </w:rPr>
            </w:pPr>
            <w:r>
              <w:rPr/>
              <w:t>This is a direct conflict with national policy.</w:t>
            </w:r>
          </w:p>
          <w:p>
            <w:pPr>
              <w:pStyle w:val="Heading1"/>
              <w:numPr>
                <w:ilvl w:val="0"/>
                <w:numId w:val="1"/>
              </w:numPr>
              <w:bidi w:val="0"/>
              <w:spacing w:before="100" w:after="100"/>
              <w:ind w:hanging="0" w:left="0"/>
              <w:rPr>
                <w:rFonts w:ascii="Times New Roman" w:hAnsi="Times New Roman"/>
              </w:rPr>
            </w:pPr>
            <w:r>
              <w:rPr>
                <w:rFonts w:ascii="Times New Roman" w:hAnsi="Times New Roman"/>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7. Requested Modifications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1 — Publish a joint Mickleton–LMA strategic evidence base</w:t>
            </w:r>
          </w:p>
          <w:p>
            <w:pPr>
              <w:pStyle w:val="NormalWeb"/>
              <w:bidi w:val="0"/>
              <w:spacing w:before="100" w:after="100"/>
              <w:rPr>
                <w:rFonts w:ascii="Times New Roman" w:hAnsi="Times New Roman"/>
              </w:rPr>
            </w:pPr>
            <w:r>
              <w:rPr/>
              <w:t>Including:</w:t>
            </w:r>
          </w:p>
          <w:p>
            <w:pPr>
              <w:pStyle w:val="NormalWeb"/>
              <w:numPr>
                <w:ilvl w:val="0"/>
                <w:numId w:val="12"/>
              </w:numPr>
              <w:tabs>
                <w:tab w:val="left" w:pos="720" w:leader="none"/>
              </w:tabs>
              <w:bidi w:val="0"/>
              <w:spacing w:before="100" w:after="0"/>
              <w:ind w:hanging="360" w:left="720" w:right="0"/>
              <w:rPr>
                <w:rFonts w:ascii="Times New Roman" w:hAnsi="Times New Roman"/>
              </w:rPr>
            </w:pPr>
            <w:r>
              <w:rPr/>
              <w:t>transport modelling</w:t>
            </w:r>
          </w:p>
          <w:p>
            <w:pPr>
              <w:pStyle w:val="NormalWeb"/>
              <w:numPr>
                <w:ilvl w:val="0"/>
                <w:numId w:val="12"/>
              </w:numPr>
              <w:tabs>
                <w:tab w:val="left" w:pos="720" w:leader="none"/>
              </w:tabs>
              <w:bidi w:val="0"/>
              <w:spacing w:before="0" w:after="0"/>
              <w:ind w:hanging="360" w:left="720" w:right="0"/>
              <w:rPr>
                <w:rFonts w:ascii="Times New Roman" w:hAnsi="Times New Roman"/>
              </w:rPr>
            </w:pPr>
            <w:r>
              <w:rPr/>
              <w:t>utilities capacity</w:t>
            </w:r>
          </w:p>
          <w:p>
            <w:pPr>
              <w:pStyle w:val="NormalWeb"/>
              <w:numPr>
                <w:ilvl w:val="0"/>
                <w:numId w:val="12"/>
              </w:numPr>
              <w:tabs>
                <w:tab w:val="left" w:pos="720" w:leader="none"/>
              </w:tabs>
              <w:bidi w:val="0"/>
              <w:spacing w:before="0" w:after="0"/>
              <w:ind w:hanging="360" w:left="720" w:right="0"/>
              <w:rPr>
                <w:rFonts w:ascii="Times New Roman" w:hAnsi="Times New Roman"/>
              </w:rPr>
            </w:pPr>
            <w:r>
              <w:rPr/>
              <w:t>wastewater strategy</w:t>
            </w:r>
          </w:p>
          <w:p>
            <w:pPr>
              <w:pStyle w:val="NormalWeb"/>
              <w:numPr>
                <w:ilvl w:val="0"/>
                <w:numId w:val="12"/>
              </w:numPr>
              <w:tabs>
                <w:tab w:val="left" w:pos="720" w:leader="none"/>
              </w:tabs>
              <w:bidi w:val="0"/>
              <w:spacing w:before="0" w:after="0"/>
              <w:ind w:hanging="360" w:left="720" w:right="0"/>
              <w:rPr>
                <w:rFonts w:ascii="Times New Roman" w:hAnsi="Times New Roman"/>
              </w:rPr>
            </w:pPr>
            <w:r>
              <w:rPr/>
              <w:t>landscape sensitivity</w:t>
            </w:r>
          </w:p>
          <w:p>
            <w:pPr>
              <w:pStyle w:val="NormalWeb"/>
              <w:numPr>
                <w:ilvl w:val="0"/>
                <w:numId w:val="12"/>
              </w:numPr>
              <w:tabs>
                <w:tab w:val="left" w:pos="720" w:leader="none"/>
              </w:tabs>
              <w:bidi w:val="0"/>
              <w:spacing w:before="0" w:after="0"/>
              <w:ind w:hanging="360" w:left="720" w:right="0"/>
              <w:rPr>
                <w:rFonts w:ascii="Times New Roman" w:hAnsi="Times New Roman"/>
              </w:rPr>
            </w:pPr>
            <w:r>
              <w:rPr/>
              <w:t>AONB setting assessment</w:t>
            </w:r>
          </w:p>
          <w:p>
            <w:pPr>
              <w:pStyle w:val="NormalWeb"/>
              <w:numPr>
                <w:ilvl w:val="0"/>
                <w:numId w:val="12"/>
              </w:numPr>
              <w:tabs>
                <w:tab w:val="left" w:pos="720" w:leader="none"/>
              </w:tabs>
              <w:bidi w:val="0"/>
              <w:spacing w:before="0" w:after="0"/>
              <w:ind w:hanging="360" w:left="720" w:right="0"/>
              <w:rPr>
                <w:rFonts w:ascii="Times New Roman" w:hAnsi="Times New Roman"/>
              </w:rPr>
            </w:pPr>
            <w:r>
              <w:rPr/>
              <w:t>environmental impact</w:t>
            </w:r>
          </w:p>
          <w:p>
            <w:pPr>
              <w:pStyle w:val="NormalWeb"/>
              <w:numPr>
                <w:ilvl w:val="0"/>
                <w:numId w:val="12"/>
              </w:numPr>
              <w:tabs>
                <w:tab w:val="left" w:pos="720" w:leader="none"/>
              </w:tabs>
              <w:bidi w:val="0"/>
              <w:spacing w:before="0" w:after="0"/>
              <w:ind w:hanging="360" w:left="720" w:right="0"/>
              <w:rPr>
                <w:rFonts w:ascii="Times New Roman" w:hAnsi="Times New Roman"/>
              </w:rPr>
            </w:pPr>
            <w:r>
              <w:rPr/>
              <w:t>infrastructure delivery plan</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2 — Produce a cross</w:t>
              <w:noBreakHyphen/>
              <w:t>border infrastructure strategy</w:t>
            </w:r>
          </w:p>
          <w:p>
            <w:pPr>
              <w:pStyle w:val="NormalWeb"/>
              <w:bidi w:val="0"/>
              <w:spacing w:before="100" w:after="100"/>
              <w:rPr>
                <w:rFonts w:ascii="Times New Roman" w:hAnsi="Times New Roman"/>
              </w:rPr>
            </w:pPr>
            <w:r>
              <w:rPr/>
              <w:t>Including:</w:t>
            </w:r>
          </w:p>
          <w:p>
            <w:pPr>
              <w:pStyle w:val="NormalWeb"/>
              <w:numPr>
                <w:ilvl w:val="0"/>
                <w:numId w:val="13"/>
              </w:numPr>
              <w:tabs>
                <w:tab w:val="left" w:pos="720" w:leader="none"/>
              </w:tabs>
              <w:bidi w:val="0"/>
              <w:spacing w:before="100" w:after="0"/>
              <w:ind w:hanging="360" w:left="720" w:right="0"/>
              <w:rPr>
                <w:rFonts w:ascii="Times New Roman" w:hAnsi="Times New Roman"/>
              </w:rPr>
            </w:pPr>
            <w:r>
              <w:rPr/>
              <w:t>joint transport interventions</w:t>
            </w:r>
          </w:p>
          <w:p>
            <w:pPr>
              <w:pStyle w:val="NormalWeb"/>
              <w:numPr>
                <w:ilvl w:val="0"/>
                <w:numId w:val="13"/>
              </w:numPr>
              <w:tabs>
                <w:tab w:val="left" w:pos="720" w:leader="none"/>
              </w:tabs>
              <w:bidi w:val="0"/>
              <w:spacing w:before="0" w:after="0"/>
              <w:ind w:hanging="360" w:left="720" w:right="0"/>
              <w:rPr>
                <w:rFonts w:ascii="Times New Roman" w:hAnsi="Times New Roman"/>
              </w:rPr>
            </w:pPr>
            <w:r>
              <w:rPr/>
              <w:t>joint utilities upgrades</w:t>
            </w:r>
          </w:p>
          <w:p>
            <w:pPr>
              <w:pStyle w:val="NormalWeb"/>
              <w:numPr>
                <w:ilvl w:val="0"/>
                <w:numId w:val="13"/>
              </w:numPr>
              <w:tabs>
                <w:tab w:val="left" w:pos="720" w:leader="none"/>
              </w:tabs>
              <w:bidi w:val="0"/>
              <w:spacing w:before="0" w:after="0"/>
              <w:ind w:hanging="360" w:left="720" w:right="0"/>
              <w:rPr>
                <w:rFonts w:ascii="Times New Roman" w:hAnsi="Times New Roman"/>
              </w:rPr>
            </w:pPr>
            <w:r>
              <w:rPr/>
              <w:t>joint wastewater treatment expansion</w:t>
            </w:r>
          </w:p>
          <w:p>
            <w:pPr>
              <w:pStyle w:val="NormalWeb"/>
              <w:numPr>
                <w:ilvl w:val="0"/>
                <w:numId w:val="13"/>
              </w:numPr>
              <w:tabs>
                <w:tab w:val="left" w:pos="720" w:leader="none"/>
              </w:tabs>
              <w:bidi w:val="0"/>
              <w:spacing w:before="0" w:after="0"/>
              <w:ind w:hanging="360" w:left="720" w:right="0"/>
              <w:rPr>
                <w:rFonts w:ascii="Times New Roman" w:hAnsi="Times New Roman"/>
              </w:rPr>
            </w:pPr>
            <w:r>
              <w:rPr/>
              <w:t>joint green infrastructure networks</w:t>
            </w:r>
          </w:p>
          <w:p>
            <w:pPr>
              <w:pStyle w:val="NormalWeb"/>
              <w:numPr>
                <w:ilvl w:val="0"/>
                <w:numId w:val="13"/>
              </w:numPr>
              <w:tabs>
                <w:tab w:val="left" w:pos="720" w:leader="none"/>
              </w:tabs>
              <w:bidi w:val="0"/>
              <w:spacing w:before="0" w:after="0"/>
              <w:ind w:hanging="360" w:left="720" w:right="0"/>
              <w:rPr>
                <w:rFonts w:ascii="Times New Roman" w:hAnsi="Times New Roman"/>
              </w:rPr>
            </w:pPr>
            <w:r>
              <w:rPr/>
              <w:t>joint phasing triggers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3 — Provide formal Duty to Cooperate documentation</w:t>
            </w:r>
          </w:p>
          <w:p>
            <w:pPr>
              <w:pStyle w:val="NormalWeb"/>
              <w:bidi w:val="0"/>
              <w:spacing w:before="100" w:after="100"/>
              <w:rPr>
                <w:rFonts w:ascii="Times New Roman" w:hAnsi="Times New Roman"/>
              </w:rPr>
            </w:pPr>
            <w:r>
              <w:rPr/>
              <w:t>Including:</w:t>
            </w:r>
          </w:p>
          <w:p>
            <w:pPr>
              <w:pStyle w:val="NormalWeb"/>
              <w:numPr>
                <w:ilvl w:val="0"/>
                <w:numId w:val="14"/>
              </w:numPr>
              <w:tabs>
                <w:tab w:val="left" w:pos="720" w:leader="none"/>
              </w:tabs>
              <w:bidi w:val="0"/>
              <w:spacing w:before="100" w:after="0"/>
              <w:ind w:hanging="360" w:left="720" w:right="0"/>
              <w:rPr>
                <w:rFonts w:ascii="Times New Roman" w:hAnsi="Times New Roman"/>
              </w:rPr>
            </w:pPr>
            <w:r>
              <w:rPr/>
              <w:t>minutes</w:t>
            </w:r>
          </w:p>
          <w:p>
            <w:pPr>
              <w:pStyle w:val="NormalWeb"/>
              <w:numPr>
                <w:ilvl w:val="0"/>
                <w:numId w:val="14"/>
              </w:numPr>
              <w:tabs>
                <w:tab w:val="left" w:pos="720" w:leader="none"/>
              </w:tabs>
              <w:bidi w:val="0"/>
              <w:spacing w:before="0" w:after="0"/>
              <w:ind w:hanging="360" w:left="720" w:right="0"/>
              <w:rPr>
                <w:rFonts w:ascii="Times New Roman" w:hAnsi="Times New Roman"/>
              </w:rPr>
            </w:pPr>
            <w:r>
              <w:rPr/>
              <w:t>agreements</w:t>
            </w:r>
          </w:p>
          <w:p>
            <w:pPr>
              <w:pStyle w:val="NormalWeb"/>
              <w:numPr>
                <w:ilvl w:val="0"/>
                <w:numId w:val="14"/>
              </w:numPr>
              <w:tabs>
                <w:tab w:val="left" w:pos="720" w:leader="none"/>
              </w:tabs>
              <w:bidi w:val="0"/>
              <w:spacing w:before="0" w:after="0"/>
              <w:ind w:hanging="360" w:left="720" w:right="0"/>
              <w:rPr>
                <w:rFonts w:ascii="Times New Roman" w:hAnsi="Times New Roman"/>
              </w:rPr>
            </w:pPr>
            <w:r>
              <w:rPr/>
              <w:t>shared modelling</w:t>
            </w:r>
          </w:p>
          <w:p>
            <w:pPr>
              <w:pStyle w:val="NormalWeb"/>
              <w:numPr>
                <w:ilvl w:val="0"/>
                <w:numId w:val="14"/>
              </w:numPr>
              <w:tabs>
                <w:tab w:val="left" w:pos="720" w:leader="none"/>
              </w:tabs>
              <w:bidi w:val="0"/>
              <w:spacing w:before="0" w:after="0"/>
              <w:ind w:hanging="360" w:left="720" w:right="0"/>
              <w:rPr>
                <w:rFonts w:ascii="Times New Roman" w:hAnsi="Times New Roman"/>
              </w:rPr>
            </w:pPr>
            <w:r>
              <w:rPr/>
              <w:t>shared strategies</w:t>
            </w:r>
          </w:p>
          <w:p>
            <w:pPr>
              <w:pStyle w:val="NormalWeb"/>
              <w:numPr>
                <w:ilvl w:val="0"/>
                <w:numId w:val="14"/>
              </w:numPr>
              <w:tabs>
                <w:tab w:val="left" w:pos="720" w:leader="none"/>
              </w:tabs>
              <w:bidi w:val="0"/>
              <w:spacing w:before="0" w:after="0"/>
              <w:ind w:hanging="360" w:left="720" w:right="0"/>
              <w:rPr>
                <w:rFonts w:ascii="Times New Roman" w:hAnsi="Times New Roman"/>
              </w:rPr>
            </w:pPr>
            <w:r>
              <w:rPr/>
              <w:t>joint statements of common ground</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4 — Reassess the scale of LMA</w:t>
            </w:r>
          </w:p>
          <w:p>
            <w:pPr>
              <w:pStyle w:val="NormalWeb"/>
              <w:bidi w:val="0"/>
              <w:spacing w:before="100" w:after="100"/>
              <w:rPr>
                <w:rFonts w:ascii="Times New Roman" w:hAnsi="Times New Roman"/>
              </w:rPr>
            </w:pPr>
            <w:r>
              <w:rPr/>
              <w:t>If cross</w:t>
              <w:noBreakHyphen/>
              <w:t>border impacts cannot be mitigated, the allocation must be:</w:t>
            </w:r>
          </w:p>
          <w:p>
            <w:pPr>
              <w:pStyle w:val="NormalWeb"/>
              <w:numPr>
                <w:ilvl w:val="0"/>
                <w:numId w:val="15"/>
              </w:numPr>
              <w:tabs>
                <w:tab w:val="left" w:pos="720" w:leader="none"/>
              </w:tabs>
              <w:bidi w:val="0"/>
              <w:spacing w:before="100" w:after="0"/>
              <w:ind w:hanging="360" w:left="720" w:right="0"/>
              <w:rPr>
                <w:rFonts w:ascii="Times New Roman" w:hAnsi="Times New Roman"/>
              </w:rPr>
            </w:pPr>
            <w:r>
              <w:rPr/>
              <w:t>reduced</w:t>
            </w:r>
          </w:p>
          <w:p>
            <w:pPr>
              <w:pStyle w:val="NormalWeb"/>
              <w:numPr>
                <w:ilvl w:val="0"/>
                <w:numId w:val="15"/>
              </w:numPr>
              <w:tabs>
                <w:tab w:val="left" w:pos="720" w:leader="none"/>
              </w:tabs>
              <w:bidi w:val="0"/>
              <w:spacing w:before="0" w:after="0"/>
              <w:ind w:hanging="360" w:left="720" w:right="0"/>
              <w:rPr>
                <w:rFonts w:ascii="Times New Roman" w:hAnsi="Times New Roman"/>
              </w:rPr>
            </w:pPr>
            <w:r>
              <w:rPr/>
              <w:t>rephased</w:t>
            </w:r>
          </w:p>
          <w:p>
            <w:pPr>
              <w:pStyle w:val="NormalWeb"/>
              <w:numPr>
                <w:ilvl w:val="0"/>
                <w:numId w:val="15"/>
              </w:numPr>
              <w:tabs>
                <w:tab w:val="left" w:pos="720" w:leader="none"/>
              </w:tabs>
              <w:bidi w:val="0"/>
              <w:spacing w:before="0" w:after="0"/>
              <w:ind w:hanging="360" w:left="720" w:right="0"/>
              <w:rPr>
                <w:rFonts w:ascii="Times New Roman" w:hAnsi="Times New Roman"/>
              </w:rPr>
            </w:pPr>
            <w:r>
              <w:rPr/>
              <w:t>or replaced with less constrained alternatives</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8. Conclusion</w:t>
            </w:r>
          </w:p>
          <w:p>
            <w:pPr>
              <w:pStyle w:val="NormalWeb"/>
              <w:bidi w:val="0"/>
              <w:spacing w:before="100" w:after="100"/>
              <w:rPr>
                <w:rFonts w:ascii="Times New Roman" w:hAnsi="Times New Roman"/>
              </w:rPr>
            </w:pPr>
            <w:r>
              <w:rPr/>
              <w:t xml:space="preserve">Proposal LMA is </w:t>
            </w:r>
            <w:r>
              <w:rPr>
                <w:rStyle w:val="Strong"/>
                <w:lang w:val="en-GB" w:eastAsia="en-GB" w:bidi="ar-SA"/>
              </w:rPr>
              <w:t>unsound</w:t>
            </w:r>
            <w:r>
              <w:rPr/>
              <w:t xml:space="preserve"> and </w:t>
            </w:r>
            <w:r>
              <w:rPr>
                <w:rStyle w:val="Strong"/>
                <w:lang w:val="en-GB" w:eastAsia="en-GB" w:bidi="ar-SA"/>
              </w:rPr>
              <w:t>not legally compliant</w:t>
            </w:r>
            <w:r>
              <w:rPr/>
              <w:t xml:space="preserve"> because the SWLP Reg 19 Publication Version provides </w:t>
            </w:r>
            <w:r>
              <w:rPr>
                <w:rStyle w:val="Strong"/>
                <w:lang w:val="en-GB" w:eastAsia="en-GB" w:bidi="ar-SA"/>
              </w:rPr>
              <w:t>no evidence of cross</w:t>
              <w:noBreakHyphen/>
              <w:t>border cooperation</w:t>
            </w:r>
            <w:r>
              <w:rPr/>
              <w:t xml:space="preserve"> with Cotswold District Council, despite 1,000+ homes planned for Mickleton.</w:t>
            </w:r>
          </w:p>
          <w:p>
            <w:pPr>
              <w:pStyle w:val="NormalWeb"/>
              <w:bidi w:val="0"/>
              <w:spacing w:before="100" w:after="100"/>
              <w:rPr>
                <w:rFonts w:ascii="Times New Roman" w:hAnsi="Times New Roman"/>
              </w:rPr>
            </w:pPr>
            <w:r>
              <w:rPr/>
              <w:t>The allocation is:</w:t>
            </w:r>
          </w:p>
          <w:p>
            <w:pPr>
              <w:pStyle w:val="NormalWeb"/>
              <w:numPr>
                <w:ilvl w:val="0"/>
                <w:numId w:val="16"/>
              </w:numPr>
              <w:tabs>
                <w:tab w:val="left" w:pos="720" w:leader="none"/>
              </w:tabs>
              <w:bidi w:val="0"/>
              <w:spacing w:before="100" w:after="0"/>
              <w:ind w:hanging="360" w:left="720" w:right="0"/>
              <w:rPr>
                <w:rFonts w:ascii="Times New Roman" w:hAnsi="Times New Roman"/>
              </w:rPr>
            </w:pPr>
            <w:r>
              <w:rPr>
                <w:rStyle w:val="Strong"/>
                <w:lang w:val="en-GB" w:eastAsia="en-GB" w:bidi="ar-SA"/>
              </w:rPr>
              <w:t>Not Positively Prepared</w:t>
            </w:r>
          </w:p>
          <w:p>
            <w:pPr>
              <w:pStyle w:val="NormalWeb"/>
              <w:numPr>
                <w:ilvl w:val="0"/>
                <w:numId w:val="16"/>
              </w:numPr>
              <w:tabs>
                <w:tab w:val="left" w:pos="720" w:leader="none"/>
              </w:tabs>
              <w:bidi w:val="0"/>
              <w:spacing w:before="0" w:after="0"/>
              <w:ind w:hanging="360" w:left="720" w:right="0"/>
              <w:rPr>
                <w:rFonts w:ascii="Times New Roman" w:hAnsi="Times New Roman"/>
              </w:rPr>
            </w:pPr>
            <w:r>
              <w:rPr>
                <w:rStyle w:val="Strong"/>
                <w:lang w:val="en-GB" w:eastAsia="en-GB" w:bidi="ar-SA"/>
              </w:rPr>
              <w:t>Not Justified</w:t>
            </w:r>
          </w:p>
          <w:p>
            <w:pPr>
              <w:pStyle w:val="NormalWeb"/>
              <w:numPr>
                <w:ilvl w:val="0"/>
                <w:numId w:val="16"/>
              </w:numPr>
              <w:tabs>
                <w:tab w:val="left" w:pos="720" w:leader="none"/>
              </w:tabs>
              <w:bidi w:val="0"/>
              <w:spacing w:before="0" w:after="0"/>
              <w:ind w:hanging="360" w:left="720" w:right="0"/>
              <w:rPr>
                <w:rFonts w:ascii="Times New Roman" w:hAnsi="Times New Roman"/>
              </w:rPr>
            </w:pPr>
            <w:r>
              <w:rPr>
                <w:rStyle w:val="Strong"/>
                <w:lang w:val="en-GB" w:eastAsia="en-GB" w:bidi="ar-SA"/>
              </w:rPr>
              <w:t>Not Effective</w:t>
            </w:r>
          </w:p>
          <w:p>
            <w:pPr>
              <w:pStyle w:val="NormalWeb"/>
              <w:numPr>
                <w:ilvl w:val="0"/>
                <w:numId w:val="16"/>
              </w:numPr>
              <w:tabs>
                <w:tab w:val="left" w:pos="720" w:leader="none"/>
              </w:tabs>
              <w:bidi w:val="0"/>
              <w:spacing w:before="0" w:after="0"/>
              <w:ind w:hanging="360" w:left="720" w:right="0"/>
              <w:rPr>
                <w:rFonts w:ascii="Times New Roman" w:hAnsi="Times New Roman"/>
              </w:rPr>
            </w:pPr>
            <w:r>
              <w:rPr>
                <w:rStyle w:val="Strong"/>
                <w:lang w:val="en-GB" w:eastAsia="en-GB" w:bidi="ar-SA"/>
              </w:rPr>
              <w:t>Not Consistent with National Policy</w:t>
            </w:r>
          </w:p>
          <w:p>
            <w:pPr>
              <w:pStyle w:val="NormalWeb"/>
              <w:numPr>
                <w:ilvl w:val="0"/>
                <w:numId w:val="16"/>
              </w:numPr>
              <w:tabs>
                <w:tab w:val="left" w:pos="720" w:leader="none"/>
              </w:tabs>
              <w:bidi w:val="0"/>
              <w:spacing w:before="0" w:after="100"/>
              <w:ind w:hanging="360" w:left="720" w:right="0"/>
              <w:rPr>
                <w:rFonts w:ascii="Times New Roman" w:hAnsi="Times New Roman"/>
              </w:rPr>
            </w:pPr>
            <w:r>
              <w:rPr>
                <w:rStyle w:val="Strong"/>
                <w:lang w:val="en-GB" w:eastAsia="en-GB" w:bidi="ar-SA"/>
              </w:rPr>
              <w:t>Not Legally Compliant (Duty to Cooperate)</w:t>
            </w:r>
          </w:p>
          <w:p>
            <w:pPr>
              <w:pStyle w:val="NormalWeb"/>
              <w:bidi w:val="0"/>
              <w:spacing w:before="100" w:after="100"/>
              <w:rPr>
                <w:rFonts w:ascii="Times New Roman" w:hAnsi="Times New Roman"/>
              </w:rPr>
            </w:pPr>
            <w:r>
              <w:rPr/>
              <w:t>The requested modifications are essential to make the plan sound.</w:t>
            </w:r>
          </w:p>
          <w:p>
            <w:pPr>
              <w:pStyle w:val="Normal"/>
              <w:bidi w:val="0"/>
              <w:ind w:hanging="0" w:left="0" w:right="0"/>
              <w:rPr>
                <w:rFonts w:ascii="Times New Roman" w:hAnsi="Times New Roman"/>
              </w:rPr>
            </w:pPr>
            <w:r>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auto"/>
    <w:pitch w:val="default"/>
  </w:font>
  <w:font w:name="Liberation Sans">
    <w:altName w:val="Arial"/>
    <w:charset w:val="00"/>
    <w:family w:val="swiss"/>
    <w:pitch w:val="variable"/>
  </w:font>
  <w:font w:name="Courier New">
    <w:charset w:val="01"/>
    <w:family w:val="modern"/>
    <w:pitch w:val="fixed"/>
  </w:font>
  <w:font w:name="Wingdings">
    <w:charset w:val="02"/>
    <w:family w:val="auto"/>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2">
    <w:name w:val="heading 2"/>
    <w:basedOn w:val="Heading"/>
    <w:next w:val="BodyText"/>
    <w:qFormat/>
    <w:pPr>
      <w:numPr>
        <w:ilvl w:val="1"/>
        <w:numId w:val="1"/>
      </w:numPr>
      <w:spacing w:before="200" w:after="120"/>
      <w:outlineLvl w:val="1"/>
    </w:pPr>
    <w:rPr>
      <w:b/>
      <w:bCs/>
      <w:sz w:val="32"/>
      <w:szCs w:val="32"/>
    </w:rPr>
  </w:style>
  <w:style w:type="paragraph" w:styleId="Heading3">
    <w:name w:val="heading 3"/>
    <w:basedOn w:val="Heading"/>
    <w:next w:val="BodyText"/>
    <w:qFormat/>
    <w:pPr>
      <w:numPr>
        <w:ilvl w:val="2"/>
        <w:numId w:val="1"/>
      </w:numPr>
      <w:spacing w:before="140" w:after="120"/>
      <w:outlineLvl w:val="2"/>
    </w:pPr>
    <w:rPr>
      <w:b/>
      <w:bCs/>
      <w:sz w:val="28"/>
      <w:szCs w:val="28"/>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Strong">
    <w:name w:val="Strong"/>
    <w:qFormat/>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paragraph" w:styleId="NormalWeb">
    <w:name w:val="Normal (Web)"/>
    <w:basedOn w:val="Normal"/>
    <w:qFormat/>
    <w:pPr>
      <w:widowControl/>
      <w:spacing w:beforeAutospacing="1" w:afterAutospacing="1"/>
      <w:ind w:hanging="0" w:left="0" w:right="0"/>
      <w:jc w:val="left"/>
      <w:textAlignment w:val="auto"/>
    </w:pPr>
    <w:rPr>
      <w:rFonts w:cs="Times New Roman"/>
      <w:sz w:val="24"/>
      <w:szCs w:val="24"/>
      <w:lang w:val="en-GB" w:eastAsia="en-GB"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Application>LibreOffice/26.2.5.2$Windows_X86_64 LibreOffice_project/cd7284b4cbbfeb507e630c1aac019f4157393acb</Application>
  <AppVersion>15.0000</AppVersion>
  <Pages>8</Pages>
  <Words>1665</Words>
  <Characters>9193</Characters>
  <CharactersWithSpaces>10570</CharactersWithSpaces>
  <Paragraphs>231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2026-08-28T13:49:29Z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