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Combined Regulation 19 Response Pack – Using Reg 18 vs Reg 19 Evidence</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RESPONSE 1 — Unjustified Change in Strategy (Reg 18 → Reg 19)</w:t>
            </w:r>
          </w:p>
          <w:p>
            <w:pPr>
              <w:pStyle w:val="NormalWeb"/>
              <w:bidi w:val="0"/>
              <w:spacing w:before="100" w:after="100"/>
              <w:rPr>
                <w:rFonts w:ascii="Times New Roman" w:hAnsi="Times New Roman"/>
              </w:rPr>
            </w:pPr>
            <w:r>
              <w:rPr>
                <w:rStyle w:val="Strong"/>
                <w:lang w:val="en-GB" w:eastAsia="en-GB" w:bidi="ar-SA"/>
              </w:rPr>
              <w:t>Tests of Soundness: Not Justified (NPPF §31, §35)</w:t>
            </w:r>
          </w:p>
          <w:p>
            <w:pPr>
              <w:pStyle w:val="NormalWeb"/>
              <w:bidi w:val="0"/>
              <w:spacing w:before="100" w:after="100"/>
              <w:rPr>
                <w:rFonts w:ascii="Times New Roman" w:hAnsi="Times New Roman"/>
              </w:rPr>
            </w:pPr>
            <w:r>
              <w:rPr/>
              <w:t xml:space="preserve">The Regulation 19 version of Proposal LMA is </w:t>
            </w:r>
            <w:r>
              <w:rPr>
                <w:rStyle w:val="Strong"/>
                <w:lang w:val="en-GB" w:eastAsia="en-GB" w:bidi="ar-SA"/>
              </w:rPr>
              <w:t>materially different</w:t>
            </w:r>
            <w:r>
              <w:rPr/>
              <w:t xml:space="preserve"> from the version consulted on at Regulation 18. Reg 18 described LMA as a </w:t>
            </w:r>
            <w:r>
              <w:rPr>
                <w:rStyle w:val="Strong"/>
                <w:lang w:val="en-GB" w:eastAsia="en-GB" w:bidi="ar-SA"/>
              </w:rPr>
              <w:t>Garden Village</w:t>
              <w:noBreakHyphen/>
              <w:t>scale expansion</w:t>
            </w:r>
            <w:r>
              <w:rPr/>
              <w:t xml:space="preserve"> of existing permissions. Reg 19 redefines LMA as a </w:t>
            </w:r>
            <w:r>
              <w:rPr>
                <w:rStyle w:val="Strong"/>
                <w:lang w:val="en-GB" w:eastAsia="en-GB" w:bidi="ar-SA"/>
              </w:rPr>
              <w:t>town</w:t>
              <w:noBreakHyphen/>
              <w:t>scale new settlement</w:t>
            </w:r>
            <w:r>
              <w:rPr/>
              <w:t xml:space="preserve"> requiring major strategic infrastructure.</w:t>
            </w:r>
          </w:p>
          <w:p>
            <w:pPr>
              <w:pStyle w:val="NormalWeb"/>
              <w:bidi w:val="0"/>
              <w:spacing w:before="100" w:after="100"/>
              <w:rPr>
                <w:rFonts w:ascii="Times New Roman" w:hAnsi="Times New Roman"/>
              </w:rPr>
            </w:pPr>
            <w:r>
              <w:rPr/>
              <w:t xml:space="preserve">The council provides </w:t>
            </w:r>
            <w:r>
              <w:rPr>
                <w:rStyle w:val="Strong"/>
                <w:lang w:val="en-GB" w:eastAsia="en-GB" w:bidi="ar-SA"/>
              </w:rPr>
              <w:t>no proportionate evidence</w:t>
            </w:r>
            <w:r>
              <w:rPr/>
              <w:t xml:space="preserve"> explaining:</w:t>
            </w:r>
          </w:p>
          <w:p>
            <w:pPr>
              <w:pStyle w:val="NormalWeb"/>
              <w:numPr>
                <w:ilvl w:val="0"/>
                <w:numId w:val="2"/>
              </w:numPr>
              <w:tabs>
                <w:tab w:val="left" w:pos="720" w:leader="none"/>
              </w:tabs>
              <w:bidi w:val="0"/>
              <w:spacing w:before="100" w:after="100"/>
              <w:ind w:hanging="360" w:left="720" w:right="0"/>
              <w:rPr>
                <w:rFonts w:ascii="Times New Roman" w:hAnsi="Times New Roman"/>
              </w:rPr>
            </w:pPr>
            <w:r>
              <w:rPr/>
              <w:t>why the scale increased</w:t>
            </w:r>
          </w:p>
          <w:p>
            <w:pPr>
              <w:pStyle w:val="NormalWeb"/>
              <w:numPr>
                <w:ilvl w:val="0"/>
                <w:numId w:val="2"/>
              </w:numPr>
              <w:tabs>
                <w:tab w:val="left" w:pos="720" w:leader="none"/>
              </w:tabs>
              <w:bidi w:val="0"/>
              <w:spacing w:before="100" w:after="100"/>
              <w:ind w:hanging="360" w:left="720" w:right="0"/>
              <w:rPr>
                <w:rFonts w:ascii="Times New Roman" w:hAnsi="Times New Roman"/>
              </w:rPr>
            </w:pPr>
            <w:r>
              <w:rPr/>
              <w:t>why the settlement form changed</w:t>
            </w:r>
          </w:p>
          <w:p>
            <w:pPr>
              <w:pStyle w:val="NormalWeb"/>
              <w:numPr>
                <w:ilvl w:val="0"/>
                <w:numId w:val="2"/>
              </w:numPr>
              <w:tabs>
                <w:tab w:val="left" w:pos="720" w:leader="none"/>
              </w:tabs>
              <w:bidi w:val="0"/>
              <w:spacing w:before="100" w:after="100"/>
              <w:ind w:hanging="360" w:left="720" w:right="0"/>
              <w:rPr>
                <w:rFonts w:ascii="Times New Roman" w:hAnsi="Times New Roman"/>
              </w:rPr>
            </w:pPr>
            <w:r>
              <w:rPr/>
              <w:t>why Garden Village principles were abandoned</w:t>
            </w:r>
          </w:p>
          <w:p>
            <w:pPr>
              <w:pStyle w:val="NormalWeb"/>
              <w:numPr>
                <w:ilvl w:val="0"/>
                <w:numId w:val="2"/>
              </w:numPr>
              <w:tabs>
                <w:tab w:val="left" w:pos="720" w:leader="none"/>
              </w:tabs>
              <w:bidi w:val="0"/>
              <w:spacing w:before="100" w:after="100"/>
              <w:ind w:hanging="360" w:left="720" w:right="0"/>
              <w:rPr>
                <w:rFonts w:ascii="Times New Roman" w:hAnsi="Times New Roman"/>
              </w:rPr>
            </w:pPr>
            <w:r>
              <w:rPr/>
              <w:t>why constraints identified at Reg 18 are now downplayed</w:t>
            </w:r>
          </w:p>
          <w:p>
            <w:pPr>
              <w:pStyle w:val="NormalWeb"/>
              <w:numPr>
                <w:ilvl w:val="0"/>
                <w:numId w:val="2"/>
              </w:numPr>
              <w:tabs>
                <w:tab w:val="left" w:pos="720" w:leader="none"/>
              </w:tabs>
              <w:bidi w:val="0"/>
              <w:spacing w:before="100" w:after="100"/>
              <w:ind w:hanging="360" w:left="720" w:right="0"/>
              <w:rPr>
                <w:rFonts w:ascii="Times New Roman" w:hAnsi="Times New Roman"/>
              </w:rPr>
            </w:pPr>
            <w:r>
              <w:rPr/>
              <w:t>why LMA is now preferred over other strategic options</w:t>
            </w:r>
          </w:p>
          <w:p>
            <w:pPr>
              <w:pStyle w:val="NormalWeb"/>
              <w:bidi w:val="0"/>
              <w:spacing w:before="100" w:after="100"/>
              <w:rPr>
                <w:rFonts w:ascii="Times New Roman" w:hAnsi="Times New Roman"/>
              </w:rPr>
            </w:pPr>
            <w:r>
              <w:rPr/>
              <w:t xml:space="preserve">This is a direct breach of </w:t>
            </w:r>
            <w:r>
              <w:rPr>
                <w:rStyle w:val="Strong"/>
                <w:lang w:val="en-GB" w:eastAsia="en-GB" w:bidi="ar-SA"/>
              </w:rPr>
              <w:t>NPPF §31</w:t>
            </w:r>
            <w:r>
              <w:rPr/>
              <w:t>, which requires proportionate evidence to justify the strategy.</w:t>
            </w:r>
          </w:p>
          <w:p>
            <w:pPr>
              <w:pStyle w:val="NormalWeb"/>
              <w:bidi w:val="0"/>
              <w:spacing w:before="100" w:after="100"/>
              <w:rPr>
                <w:rFonts w:ascii="Times New Roman" w:hAnsi="Times New Roman"/>
              </w:rPr>
            </w:pPr>
            <w:r>
              <w:rPr>
                <w:rStyle w:val="Strong"/>
                <w:lang w:val="en-GB" w:eastAsia="en-GB" w:bidi="ar-SA"/>
              </w:rPr>
              <w:t>Evidence used:</w:t>
            </w:r>
            <w:r>
              <w:rPr/>
              <w:t xml:space="preserve"> Comparison table rows: </w:t>
            </w:r>
            <w:r>
              <w:rPr>
                <w:rStyle w:val="Emphasis"/>
                <w:lang w:val="en-GB" w:eastAsia="en-GB" w:bidi="ar-SA"/>
              </w:rPr>
              <w:t>Overall role</w:t>
            </w:r>
            <w:r>
              <w:rPr/>
              <w:t xml:space="preserve">, </w:t>
            </w:r>
            <w:r>
              <w:rPr>
                <w:rStyle w:val="Emphasis"/>
                <w:lang w:val="en-GB" w:eastAsia="en-GB" w:bidi="ar-SA"/>
              </w:rPr>
              <w:t>Scale</w:t>
            </w:r>
            <w:r>
              <w:rPr/>
              <w:t xml:space="preserve">, </w:t>
            </w:r>
            <w:r>
              <w:rPr>
                <w:rStyle w:val="Emphasis"/>
                <w:lang w:val="en-GB" w:eastAsia="en-GB" w:bidi="ar-SA"/>
              </w:rPr>
              <w:t>Settlement identity</w:t>
            </w:r>
            <w:r>
              <w:rPr/>
              <w:t xml:space="preserve">, </w:t>
            </w:r>
            <w:r>
              <w:rPr>
                <w:rStyle w:val="Emphasis"/>
                <w:lang w:val="en-GB" w:eastAsia="en-GB" w:bidi="ar-SA"/>
              </w:rPr>
              <w:t>Strategic status</w:t>
            </w:r>
            <w:r>
              <w:rPr/>
              <w:t xml:space="preserve">, </w:t>
            </w:r>
            <w:r>
              <w:rPr>
                <w:rStyle w:val="Emphasis"/>
                <w:lang w:val="en-GB" w:eastAsia="en-GB" w:bidi="ar-SA"/>
              </w:rPr>
              <w:t>Evidence base</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RESPONSE 2 — Failure to Assess Reasonable Alternatives</w:t>
            </w:r>
          </w:p>
          <w:p>
            <w:pPr>
              <w:pStyle w:val="NormalWeb"/>
              <w:bidi w:val="0"/>
              <w:spacing w:before="100" w:after="100"/>
              <w:rPr>
                <w:rFonts w:ascii="Times New Roman" w:hAnsi="Times New Roman"/>
              </w:rPr>
            </w:pPr>
            <w:r>
              <w:rPr>
                <w:rStyle w:val="Strong"/>
                <w:lang w:val="en-GB" w:eastAsia="en-GB" w:bidi="ar-SA"/>
              </w:rPr>
              <w:t>Tests of Soundness: Not Justified (NPPF §33, §35)</w:t>
            </w:r>
          </w:p>
          <w:p>
            <w:pPr>
              <w:pStyle w:val="NormalWeb"/>
              <w:bidi w:val="0"/>
              <w:spacing w:before="100" w:after="100"/>
              <w:rPr>
                <w:rFonts w:ascii="Times New Roman" w:hAnsi="Times New Roman"/>
              </w:rPr>
            </w:pPr>
            <w:r>
              <w:rPr/>
              <w:t>Reg 18 presented multiple strategic options:</w:t>
            </w:r>
          </w:p>
          <w:p>
            <w:pPr>
              <w:pStyle w:val="NormalWeb"/>
              <w:numPr>
                <w:ilvl w:val="0"/>
                <w:numId w:val="3"/>
              </w:numPr>
              <w:tabs>
                <w:tab w:val="left" w:pos="720" w:leader="none"/>
              </w:tabs>
              <w:bidi w:val="0"/>
              <w:spacing w:before="100" w:after="100"/>
              <w:ind w:hanging="360" w:left="720" w:right="0"/>
              <w:rPr>
                <w:rFonts w:ascii="Times New Roman" w:hAnsi="Times New Roman"/>
              </w:rPr>
            </w:pPr>
            <w:r>
              <w:rPr/>
              <w:t>Hatton</w:t>
            </w:r>
          </w:p>
          <w:p>
            <w:pPr>
              <w:pStyle w:val="NormalWeb"/>
              <w:numPr>
                <w:ilvl w:val="0"/>
                <w:numId w:val="3"/>
              </w:numPr>
              <w:tabs>
                <w:tab w:val="left" w:pos="720" w:leader="none"/>
              </w:tabs>
              <w:bidi w:val="0"/>
              <w:spacing w:before="100" w:after="100"/>
              <w:ind w:hanging="360" w:left="720" w:right="0"/>
              <w:rPr>
                <w:rFonts w:ascii="Times New Roman" w:hAnsi="Times New Roman"/>
              </w:rPr>
            </w:pPr>
            <w:r>
              <w:rPr/>
              <w:t>Gaydon/Lighthorne</w:t>
            </w:r>
          </w:p>
          <w:p>
            <w:pPr>
              <w:pStyle w:val="NormalWeb"/>
              <w:numPr>
                <w:ilvl w:val="0"/>
                <w:numId w:val="3"/>
              </w:numPr>
              <w:tabs>
                <w:tab w:val="left" w:pos="720" w:leader="none"/>
              </w:tabs>
              <w:bidi w:val="0"/>
              <w:spacing w:before="100" w:after="100"/>
              <w:ind w:hanging="360" w:left="720" w:right="0"/>
              <w:rPr>
                <w:rFonts w:ascii="Times New Roman" w:hAnsi="Times New Roman"/>
              </w:rPr>
            </w:pPr>
            <w:r>
              <w:rPr/>
              <w:t>Urban extensions</w:t>
            </w:r>
          </w:p>
          <w:p>
            <w:pPr>
              <w:pStyle w:val="NormalWeb"/>
              <w:numPr>
                <w:ilvl w:val="0"/>
                <w:numId w:val="3"/>
              </w:numPr>
              <w:tabs>
                <w:tab w:val="left" w:pos="720" w:leader="none"/>
              </w:tabs>
              <w:bidi w:val="0"/>
              <w:spacing w:before="100" w:after="100"/>
              <w:ind w:hanging="360" w:left="720" w:right="0"/>
              <w:rPr>
                <w:rFonts w:ascii="Times New Roman" w:hAnsi="Times New Roman"/>
              </w:rPr>
            </w:pPr>
            <w:r>
              <w:rPr/>
              <w:t>Dispersed growth</w:t>
            </w:r>
          </w:p>
          <w:p>
            <w:pPr>
              <w:pStyle w:val="NormalWeb"/>
              <w:numPr>
                <w:ilvl w:val="0"/>
                <w:numId w:val="3"/>
              </w:numPr>
              <w:tabs>
                <w:tab w:val="left" w:pos="720" w:leader="none"/>
              </w:tabs>
              <w:bidi w:val="0"/>
              <w:spacing w:before="100" w:after="100"/>
              <w:ind w:hanging="360" w:left="720" w:right="0"/>
              <w:rPr>
                <w:rFonts w:ascii="Times New Roman" w:hAnsi="Times New Roman"/>
              </w:rPr>
            </w:pPr>
            <w:r>
              <w:rPr/>
              <w:t>Other new settlement locations</w:t>
            </w:r>
          </w:p>
          <w:p>
            <w:pPr>
              <w:pStyle w:val="NormalWeb"/>
              <w:bidi w:val="0"/>
              <w:spacing w:before="100" w:after="100"/>
              <w:rPr>
                <w:rFonts w:ascii="Times New Roman" w:hAnsi="Times New Roman"/>
              </w:rPr>
            </w:pPr>
            <w:r>
              <w:rPr/>
              <w:t xml:space="preserve">Reg 19 selects LMA as a major strategic site but </w:t>
            </w:r>
            <w:r>
              <w:rPr>
                <w:rStyle w:val="Strong"/>
                <w:lang w:val="en-GB" w:eastAsia="en-GB" w:bidi="ar-SA"/>
              </w:rPr>
              <w:t>does not provide a comparative assessment</w:t>
            </w:r>
            <w:r>
              <w:rPr/>
              <w:t xml:space="preserve"> explaining:</w:t>
            </w:r>
          </w:p>
          <w:p>
            <w:pPr>
              <w:pStyle w:val="NormalWeb"/>
              <w:numPr>
                <w:ilvl w:val="0"/>
                <w:numId w:val="4"/>
              </w:numPr>
              <w:tabs>
                <w:tab w:val="left" w:pos="720" w:leader="none"/>
              </w:tabs>
              <w:bidi w:val="0"/>
              <w:spacing w:before="100" w:after="100"/>
              <w:ind w:hanging="360" w:left="720" w:right="0"/>
              <w:rPr>
                <w:rFonts w:ascii="Times New Roman" w:hAnsi="Times New Roman"/>
              </w:rPr>
            </w:pPr>
            <w:r>
              <w:rPr/>
              <w:t>why LMA’s constraints are preferable</w:t>
            </w:r>
          </w:p>
          <w:p>
            <w:pPr>
              <w:pStyle w:val="NormalWeb"/>
              <w:numPr>
                <w:ilvl w:val="0"/>
                <w:numId w:val="4"/>
              </w:numPr>
              <w:tabs>
                <w:tab w:val="left" w:pos="720" w:leader="none"/>
              </w:tabs>
              <w:bidi w:val="0"/>
              <w:spacing w:before="100" w:after="100"/>
              <w:ind w:hanging="360" w:left="720" w:right="0"/>
              <w:rPr>
                <w:rFonts w:ascii="Times New Roman" w:hAnsi="Times New Roman"/>
              </w:rPr>
            </w:pPr>
            <w:r>
              <w:rPr/>
              <w:t>why other options were rejected</w:t>
            </w:r>
          </w:p>
          <w:p>
            <w:pPr>
              <w:pStyle w:val="NormalWeb"/>
              <w:numPr>
                <w:ilvl w:val="0"/>
                <w:numId w:val="4"/>
              </w:numPr>
              <w:tabs>
                <w:tab w:val="left" w:pos="720" w:leader="none"/>
              </w:tabs>
              <w:bidi w:val="0"/>
              <w:spacing w:before="100" w:after="100"/>
              <w:ind w:hanging="360" w:left="720" w:right="0"/>
              <w:rPr>
                <w:rFonts w:ascii="Times New Roman" w:hAnsi="Times New Roman"/>
              </w:rPr>
            </w:pPr>
            <w:r>
              <w:rPr/>
              <w:t>how LMA performs better in transport, landscape, or infrastructure terms</w:t>
            </w:r>
          </w:p>
          <w:p>
            <w:pPr>
              <w:pStyle w:val="NormalWeb"/>
              <w:bidi w:val="0"/>
              <w:spacing w:before="100" w:after="100"/>
              <w:rPr>
                <w:rFonts w:ascii="Times New Roman" w:hAnsi="Times New Roman"/>
              </w:rPr>
            </w:pPr>
            <w:r>
              <w:rPr/>
              <w:t xml:space="preserve">This is a breach of </w:t>
            </w:r>
            <w:r>
              <w:rPr>
                <w:rStyle w:val="Strong"/>
                <w:lang w:val="en-GB" w:eastAsia="en-GB" w:bidi="ar-SA"/>
              </w:rPr>
              <w:t>NPPF §33</w:t>
            </w:r>
            <w:r>
              <w:rPr/>
              <w:t>, which requires a justified spatial strategy and assessment of reasonable alternatives.</w:t>
            </w:r>
          </w:p>
          <w:p>
            <w:pPr>
              <w:pStyle w:val="NormalWeb"/>
              <w:bidi w:val="0"/>
              <w:spacing w:before="100" w:after="100"/>
              <w:rPr>
                <w:rFonts w:ascii="Times New Roman" w:hAnsi="Times New Roman"/>
              </w:rPr>
            </w:pPr>
            <w:r>
              <w:rPr>
                <w:rStyle w:val="Strong"/>
                <w:lang w:val="en-GB" w:eastAsia="en-GB" w:bidi="ar-SA"/>
              </w:rPr>
              <w:t>Evidence used:</w:t>
            </w:r>
            <w:r>
              <w:rPr/>
              <w:t xml:space="preserve"> Comparison table rows: </w:t>
            </w:r>
            <w:r>
              <w:rPr>
                <w:rStyle w:val="Emphasis"/>
                <w:lang w:val="en-GB" w:eastAsia="en-GB" w:bidi="ar-SA"/>
              </w:rPr>
              <w:t>Strategic status</w:t>
            </w:r>
            <w:r>
              <w:rPr/>
              <w:t xml:space="preserve">, </w:t>
            </w:r>
            <w:r>
              <w:rPr>
                <w:rStyle w:val="Emphasis"/>
                <w:lang w:val="en-GB" w:eastAsia="en-GB" w:bidi="ar-SA"/>
              </w:rPr>
              <w:t>Reasonable alternatives</w:t>
            </w:r>
            <w:r>
              <w:rPr/>
              <w:t xml:space="preserve">, </w:t>
            </w:r>
            <w:r>
              <w:rPr>
                <w:rStyle w:val="Emphasis"/>
                <w:lang w:val="en-GB" w:eastAsia="en-GB" w:bidi="ar-SA"/>
              </w:rPr>
              <w:t>Evidence base</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RESPONSE 3 — Inconsistency in Transport Evidence and Assumptions</w:t>
            </w:r>
          </w:p>
          <w:p>
            <w:pPr>
              <w:pStyle w:val="NormalWeb"/>
              <w:bidi w:val="0"/>
              <w:spacing w:before="100" w:after="100"/>
              <w:rPr>
                <w:rFonts w:ascii="Times New Roman" w:hAnsi="Times New Roman"/>
              </w:rPr>
            </w:pPr>
            <w:r>
              <w:rPr>
                <w:rStyle w:val="Strong"/>
                <w:lang w:val="en-GB" w:eastAsia="en-GB" w:bidi="ar-SA"/>
              </w:rPr>
              <w:t>Tests of Soundness: Not Justified, Not Effective (NPPF §§104–110)</w:t>
            </w:r>
          </w:p>
          <w:p>
            <w:pPr>
              <w:pStyle w:val="NormalWeb"/>
              <w:bidi w:val="0"/>
              <w:spacing w:before="100" w:after="100"/>
              <w:rPr>
                <w:rFonts w:ascii="Times New Roman" w:hAnsi="Times New Roman"/>
              </w:rPr>
            </w:pPr>
            <w:r>
              <w:rPr/>
              <w:t xml:space="preserve">Reg 18 assumed </w:t>
            </w:r>
            <w:r>
              <w:rPr>
                <w:rStyle w:val="Strong"/>
                <w:lang w:val="en-GB" w:eastAsia="en-GB" w:bidi="ar-SA"/>
              </w:rPr>
              <w:t>incremental transport improvements</w:t>
            </w:r>
            <w:r>
              <w:rPr/>
              <w:t xml:space="preserve">. Reg 19 requires </w:t>
            </w:r>
            <w:r>
              <w:rPr>
                <w:rStyle w:val="Strong"/>
                <w:lang w:val="en-GB" w:eastAsia="en-GB" w:bidi="ar-SA"/>
              </w:rPr>
              <w:t>major strategic transport interventions</w:t>
            </w:r>
            <w:r>
              <w:rPr/>
              <w:t>, including:</w:t>
            </w:r>
          </w:p>
          <w:p>
            <w:pPr>
              <w:pStyle w:val="NormalWeb"/>
              <w:numPr>
                <w:ilvl w:val="0"/>
                <w:numId w:val="5"/>
              </w:numPr>
              <w:tabs>
                <w:tab w:val="left" w:pos="720" w:leader="none"/>
              </w:tabs>
              <w:bidi w:val="0"/>
              <w:spacing w:before="100" w:after="100"/>
              <w:ind w:hanging="360" w:left="720" w:right="0"/>
              <w:rPr>
                <w:rFonts w:ascii="Times New Roman" w:hAnsi="Times New Roman"/>
              </w:rPr>
            </w:pPr>
            <w:r>
              <w:rPr/>
              <w:t>Stratford bypass (ID.4)</w:t>
            </w:r>
          </w:p>
          <w:p>
            <w:pPr>
              <w:pStyle w:val="NormalWeb"/>
              <w:numPr>
                <w:ilvl w:val="0"/>
                <w:numId w:val="5"/>
              </w:numPr>
              <w:tabs>
                <w:tab w:val="left" w:pos="720" w:leader="none"/>
              </w:tabs>
              <w:bidi w:val="0"/>
              <w:spacing w:before="100" w:after="100"/>
              <w:ind w:hanging="360" w:left="720" w:right="0"/>
              <w:rPr>
                <w:rFonts w:ascii="Times New Roman" w:hAnsi="Times New Roman"/>
              </w:rPr>
            </w:pPr>
            <w:r>
              <w:rPr/>
              <w:t>Major junction upgrades</w:t>
            </w:r>
          </w:p>
          <w:p>
            <w:pPr>
              <w:pStyle w:val="NormalWeb"/>
              <w:numPr>
                <w:ilvl w:val="0"/>
                <w:numId w:val="5"/>
              </w:numPr>
              <w:tabs>
                <w:tab w:val="left" w:pos="720" w:leader="none"/>
              </w:tabs>
              <w:bidi w:val="0"/>
              <w:spacing w:before="100" w:after="100"/>
              <w:ind w:hanging="360" w:left="720" w:right="0"/>
              <w:rPr>
                <w:rFonts w:ascii="Times New Roman" w:hAnsi="Times New Roman"/>
              </w:rPr>
            </w:pPr>
            <w:r>
              <w:rPr/>
              <w:t>New access roads</w:t>
            </w:r>
          </w:p>
          <w:p>
            <w:pPr>
              <w:pStyle w:val="NormalWeb"/>
              <w:numPr>
                <w:ilvl w:val="0"/>
                <w:numId w:val="5"/>
              </w:numPr>
              <w:tabs>
                <w:tab w:val="left" w:pos="720" w:leader="none"/>
              </w:tabs>
              <w:bidi w:val="0"/>
              <w:spacing w:before="100" w:after="100"/>
              <w:ind w:hanging="360" w:left="720" w:right="0"/>
              <w:rPr>
                <w:rFonts w:ascii="Times New Roman" w:hAnsi="Times New Roman"/>
              </w:rPr>
            </w:pPr>
            <w:r>
              <w:rPr/>
              <w:t>Public transport corridors</w:t>
            </w:r>
          </w:p>
          <w:p>
            <w:pPr>
              <w:pStyle w:val="NormalWeb"/>
              <w:numPr>
                <w:ilvl w:val="0"/>
                <w:numId w:val="5"/>
              </w:numPr>
              <w:tabs>
                <w:tab w:val="left" w:pos="720" w:leader="none"/>
              </w:tabs>
              <w:bidi w:val="0"/>
              <w:spacing w:before="100" w:after="100"/>
              <w:ind w:hanging="360" w:left="720" w:right="0"/>
              <w:rPr>
                <w:rFonts w:ascii="Times New Roman" w:hAnsi="Times New Roman"/>
              </w:rPr>
            </w:pPr>
            <w:r>
              <w:rPr/>
              <w:t>Strategic active travel networks</w:t>
            </w:r>
          </w:p>
          <w:p>
            <w:pPr>
              <w:pStyle w:val="NormalWeb"/>
              <w:bidi w:val="0"/>
              <w:spacing w:before="100" w:after="100"/>
              <w:rPr>
                <w:rFonts w:ascii="Times New Roman" w:hAnsi="Times New Roman"/>
              </w:rPr>
            </w:pPr>
            <w:r>
              <w:rPr/>
              <w:t xml:space="preserve">Yet </w:t>
            </w:r>
            <w:r>
              <w:rPr>
                <w:rStyle w:val="Strong"/>
                <w:lang w:val="en-GB" w:eastAsia="en-GB" w:bidi="ar-SA"/>
              </w:rPr>
              <w:t>no transport modelling</w:t>
            </w:r>
            <w:r>
              <w:rPr/>
              <w:t xml:space="preserve"> has been published to demonstrate:</w:t>
            </w:r>
          </w:p>
          <w:p>
            <w:pPr>
              <w:pStyle w:val="NormalWeb"/>
              <w:numPr>
                <w:ilvl w:val="0"/>
                <w:numId w:val="6"/>
              </w:numPr>
              <w:tabs>
                <w:tab w:val="left" w:pos="720" w:leader="none"/>
              </w:tabs>
              <w:bidi w:val="0"/>
              <w:spacing w:before="100" w:after="100"/>
              <w:ind w:hanging="360" w:left="720" w:right="0"/>
              <w:rPr>
                <w:rFonts w:ascii="Times New Roman" w:hAnsi="Times New Roman"/>
              </w:rPr>
            </w:pPr>
            <w:r>
              <w:rPr/>
              <w:t>feasibility</w:t>
            </w:r>
          </w:p>
          <w:p>
            <w:pPr>
              <w:pStyle w:val="NormalWeb"/>
              <w:numPr>
                <w:ilvl w:val="0"/>
                <w:numId w:val="6"/>
              </w:numPr>
              <w:tabs>
                <w:tab w:val="left" w:pos="720" w:leader="none"/>
              </w:tabs>
              <w:bidi w:val="0"/>
              <w:spacing w:before="100" w:after="100"/>
              <w:ind w:hanging="360" w:left="720" w:right="0"/>
              <w:rPr>
                <w:rFonts w:ascii="Times New Roman" w:hAnsi="Times New Roman"/>
              </w:rPr>
            </w:pPr>
            <w:r>
              <w:rPr/>
              <w:t>deliverability</w:t>
            </w:r>
          </w:p>
          <w:p>
            <w:pPr>
              <w:pStyle w:val="NormalWeb"/>
              <w:numPr>
                <w:ilvl w:val="0"/>
                <w:numId w:val="6"/>
              </w:numPr>
              <w:tabs>
                <w:tab w:val="left" w:pos="720" w:leader="none"/>
              </w:tabs>
              <w:bidi w:val="0"/>
              <w:spacing w:before="100" w:after="100"/>
              <w:ind w:hanging="360" w:left="720" w:right="0"/>
              <w:rPr>
                <w:rFonts w:ascii="Times New Roman" w:hAnsi="Times New Roman"/>
              </w:rPr>
            </w:pPr>
            <w:r>
              <w:rPr/>
              <w:t>cost</w:t>
            </w:r>
          </w:p>
          <w:p>
            <w:pPr>
              <w:pStyle w:val="NormalWeb"/>
              <w:numPr>
                <w:ilvl w:val="0"/>
                <w:numId w:val="6"/>
              </w:numPr>
              <w:tabs>
                <w:tab w:val="left" w:pos="720" w:leader="none"/>
              </w:tabs>
              <w:bidi w:val="0"/>
              <w:spacing w:before="100" w:after="100"/>
              <w:ind w:hanging="360" w:left="720" w:right="0"/>
              <w:rPr>
                <w:rFonts w:ascii="Times New Roman" w:hAnsi="Times New Roman"/>
              </w:rPr>
            </w:pPr>
            <w:r>
              <w:rPr/>
              <w:t>phasing</w:t>
            </w:r>
          </w:p>
          <w:p>
            <w:pPr>
              <w:pStyle w:val="NormalWeb"/>
              <w:numPr>
                <w:ilvl w:val="0"/>
                <w:numId w:val="6"/>
              </w:numPr>
              <w:tabs>
                <w:tab w:val="left" w:pos="720" w:leader="none"/>
              </w:tabs>
              <w:bidi w:val="0"/>
              <w:spacing w:before="100" w:after="100"/>
              <w:ind w:hanging="360" w:left="720" w:right="0"/>
              <w:rPr>
                <w:rFonts w:ascii="Times New Roman" w:hAnsi="Times New Roman"/>
              </w:rPr>
            </w:pPr>
            <w:r>
              <w:rPr/>
              <w:t>impact on the B4632, Campden Road, or Stratford’s southern approaches</w:t>
            </w:r>
          </w:p>
          <w:p>
            <w:pPr>
              <w:pStyle w:val="NormalWeb"/>
              <w:bidi w:val="0"/>
              <w:spacing w:before="100" w:after="100"/>
              <w:rPr>
                <w:rFonts w:ascii="Times New Roman" w:hAnsi="Times New Roman"/>
              </w:rPr>
            </w:pPr>
            <w:r>
              <w:rPr/>
              <w:t xml:space="preserve">This contradicts Reg 18 and fails </w:t>
            </w:r>
            <w:r>
              <w:rPr>
                <w:rStyle w:val="Strong"/>
                <w:lang w:val="en-GB" w:eastAsia="en-GB" w:bidi="ar-SA"/>
              </w:rPr>
              <w:t>NPPF §§104–110</w:t>
            </w:r>
            <w:r>
              <w:rPr/>
              <w:t>.</w:t>
            </w:r>
          </w:p>
          <w:p>
            <w:pPr>
              <w:pStyle w:val="NormalWeb"/>
              <w:bidi w:val="0"/>
              <w:spacing w:before="100" w:after="100"/>
              <w:rPr>
                <w:rFonts w:ascii="Times New Roman" w:hAnsi="Times New Roman"/>
              </w:rPr>
            </w:pPr>
            <w:r>
              <w:rPr>
                <w:rStyle w:val="Strong"/>
                <w:lang w:val="en-GB" w:eastAsia="en-GB" w:bidi="ar-SA"/>
              </w:rPr>
              <w:t>Evidence used:</w:t>
            </w:r>
            <w:r>
              <w:rPr/>
              <w:t xml:space="preserve"> Comparison table rows: </w:t>
            </w:r>
            <w:r>
              <w:rPr>
                <w:rStyle w:val="Emphasis"/>
                <w:lang w:val="en-GB" w:eastAsia="en-GB" w:bidi="ar-SA"/>
              </w:rPr>
              <w:t>Transport assumptions</w:t>
            </w:r>
            <w:r>
              <w:rPr/>
              <w:t xml:space="preserve">, </w:t>
            </w:r>
            <w:r>
              <w:rPr>
                <w:rStyle w:val="Emphasis"/>
                <w:lang w:val="en-GB" w:eastAsia="en-GB" w:bidi="ar-SA"/>
              </w:rPr>
              <w:t>Transport evidence</w:t>
            </w:r>
            <w:r>
              <w:rPr/>
              <w:t xml:space="preserve">, </w:t>
            </w:r>
            <w:r>
              <w:rPr>
                <w:rStyle w:val="Emphasis"/>
                <w:lang w:val="en-GB" w:eastAsia="en-GB" w:bidi="ar-SA"/>
              </w:rPr>
              <w:t>Public transport</w:t>
            </w:r>
            <w:r>
              <w:rPr/>
              <w:t xml:space="preserve">, </w:t>
            </w:r>
            <w:r>
              <w:rPr>
                <w:rStyle w:val="Emphasis"/>
                <w:lang w:val="en-GB" w:eastAsia="en-GB" w:bidi="ar-SA"/>
              </w:rPr>
              <w:t>Active travel</w:t>
            </w:r>
            <w:r>
              <w:rPr/>
              <w:t xml:space="preserve">, </w:t>
            </w:r>
            <w:r>
              <w:rPr>
                <w:rStyle w:val="Emphasis"/>
                <w:lang w:val="en-GB" w:eastAsia="en-GB" w:bidi="ar-SA"/>
              </w:rPr>
              <w:t>Road network constraints</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RESPONSE 4 — Loss of Garden Village Identity and Increased Coalescence Risk</w:t>
            </w:r>
          </w:p>
          <w:p>
            <w:pPr>
              <w:pStyle w:val="NormalWeb"/>
              <w:bidi w:val="0"/>
              <w:spacing w:before="100" w:after="100"/>
              <w:rPr>
                <w:rFonts w:ascii="Times New Roman" w:hAnsi="Times New Roman"/>
              </w:rPr>
            </w:pPr>
            <w:r>
              <w:rPr>
                <w:rStyle w:val="Strong"/>
                <w:lang w:val="en-GB" w:eastAsia="en-GB" w:bidi="ar-SA"/>
              </w:rPr>
              <w:t>Tests of Soundness: Not Consistent with National Policy (NPPF §127–130, §174)</w:t>
            </w:r>
          </w:p>
          <w:p>
            <w:pPr>
              <w:pStyle w:val="NormalWeb"/>
              <w:bidi w:val="0"/>
              <w:spacing w:before="100" w:after="100"/>
              <w:rPr>
                <w:rFonts w:ascii="Times New Roman" w:hAnsi="Times New Roman"/>
              </w:rPr>
            </w:pPr>
            <w:r>
              <w:rPr/>
              <w:t>Reg 18 emphasised:</w:t>
            </w:r>
          </w:p>
          <w:p>
            <w:pPr>
              <w:pStyle w:val="NormalWeb"/>
              <w:numPr>
                <w:ilvl w:val="0"/>
                <w:numId w:val="7"/>
              </w:numPr>
              <w:tabs>
                <w:tab w:val="left" w:pos="720" w:leader="none"/>
              </w:tabs>
              <w:bidi w:val="0"/>
              <w:spacing w:before="100" w:after="100"/>
              <w:ind w:hanging="360" w:left="720" w:right="0"/>
              <w:rPr>
                <w:rFonts w:ascii="Times New Roman" w:hAnsi="Times New Roman"/>
              </w:rPr>
            </w:pPr>
            <w:r>
              <w:rPr/>
              <w:t>retaining Garden Village identity</w:t>
            </w:r>
          </w:p>
          <w:p>
            <w:pPr>
              <w:pStyle w:val="NormalWeb"/>
              <w:numPr>
                <w:ilvl w:val="0"/>
                <w:numId w:val="7"/>
              </w:numPr>
              <w:tabs>
                <w:tab w:val="left" w:pos="720" w:leader="none"/>
              </w:tabs>
              <w:bidi w:val="0"/>
              <w:spacing w:before="100" w:after="100"/>
              <w:ind w:hanging="360" w:left="720" w:right="0"/>
              <w:rPr>
                <w:rFonts w:ascii="Times New Roman" w:hAnsi="Times New Roman"/>
              </w:rPr>
            </w:pPr>
            <w:r>
              <w:rPr/>
              <w:t>protecting settlement character</w:t>
            </w:r>
          </w:p>
          <w:p>
            <w:pPr>
              <w:pStyle w:val="NormalWeb"/>
              <w:numPr>
                <w:ilvl w:val="0"/>
                <w:numId w:val="7"/>
              </w:numPr>
              <w:tabs>
                <w:tab w:val="left" w:pos="720" w:leader="none"/>
              </w:tabs>
              <w:bidi w:val="0"/>
              <w:spacing w:before="100" w:after="100"/>
              <w:ind w:hanging="360" w:left="720" w:right="0"/>
              <w:rPr>
                <w:rFonts w:ascii="Times New Roman" w:hAnsi="Times New Roman"/>
              </w:rPr>
            </w:pPr>
            <w:r>
              <w:rPr/>
              <w:t>avoiding coalescence</w:t>
            </w:r>
          </w:p>
          <w:p>
            <w:pPr>
              <w:pStyle w:val="NormalWeb"/>
              <w:numPr>
                <w:ilvl w:val="0"/>
                <w:numId w:val="7"/>
              </w:numPr>
              <w:tabs>
                <w:tab w:val="left" w:pos="720" w:leader="none"/>
              </w:tabs>
              <w:bidi w:val="0"/>
              <w:spacing w:before="100" w:after="100"/>
              <w:ind w:hanging="360" w:left="720" w:right="0"/>
              <w:rPr>
                <w:rFonts w:ascii="Times New Roman" w:hAnsi="Times New Roman"/>
              </w:rPr>
            </w:pPr>
            <w:r>
              <w:rPr/>
              <w:t>maintaining landscape separation</w:t>
            </w:r>
          </w:p>
          <w:p>
            <w:pPr>
              <w:pStyle w:val="NormalWeb"/>
              <w:bidi w:val="0"/>
              <w:spacing w:before="100" w:after="100"/>
              <w:rPr>
                <w:rFonts w:ascii="Times New Roman" w:hAnsi="Times New Roman"/>
              </w:rPr>
            </w:pPr>
            <w:r>
              <w:rPr/>
              <w:t xml:space="preserve">Reg 19 abandons these principles and proposes a </w:t>
            </w:r>
            <w:r>
              <w:rPr>
                <w:rStyle w:val="Strong"/>
                <w:lang w:val="en-GB" w:eastAsia="en-GB" w:bidi="ar-SA"/>
              </w:rPr>
              <w:t>town</w:t>
              <w:noBreakHyphen/>
              <w:t>scale settlement</w:t>
            </w:r>
            <w:r>
              <w:rPr/>
              <w:t xml:space="preserve"> that risks:</w:t>
            </w:r>
          </w:p>
          <w:p>
            <w:pPr>
              <w:pStyle w:val="NormalWeb"/>
              <w:numPr>
                <w:ilvl w:val="0"/>
                <w:numId w:val="8"/>
              </w:numPr>
              <w:tabs>
                <w:tab w:val="left" w:pos="720" w:leader="none"/>
              </w:tabs>
              <w:bidi w:val="0"/>
              <w:spacing w:before="100" w:after="100"/>
              <w:ind w:hanging="360" w:left="720" w:right="0"/>
              <w:rPr>
                <w:rFonts w:ascii="Times New Roman" w:hAnsi="Times New Roman"/>
              </w:rPr>
            </w:pPr>
            <w:r>
              <w:rPr/>
              <w:t>coalescence with Long Marston village</w:t>
            </w:r>
          </w:p>
          <w:p>
            <w:pPr>
              <w:pStyle w:val="NormalWeb"/>
              <w:numPr>
                <w:ilvl w:val="0"/>
                <w:numId w:val="8"/>
              </w:numPr>
              <w:tabs>
                <w:tab w:val="left" w:pos="720" w:leader="none"/>
              </w:tabs>
              <w:bidi w:val="0"/>
              <w:spacing w:before="100" w:after="100"/>
              <w:ind w:hanging="360" w:left="720" w:right="0"/>
              <w:rPr>
                <w:rFonts w:ascii="Times New Roman" w:hAnsi="Times New Roman"/>
              </w:rPr>
            </w:pPr>
            <w:r>
              <w:rPr/>
              <w:t>coalescence with Meon Vale</w:t>
            </w:r>
          </w:p>
          <w:p>
            <w:pPr>
              <w:pStyle w:val="NormalWeb"/>
              <w:numPr>
                <w:ilvl w:val="0"/>
                <w:numId w:val="8"/>
              </w:numPr>
              <w:tabs>
                <w:tab w:val="left" w:pos="720" w:leader="none"/>
              </w:tabs>
              <w:bidi w:val="0"/>
              <w:spacing w:before="100" w:after="100"/>
              <w:ind w:hanging="360" w:left="720" w:right="0"/>
              <w:rPr>
                <w:rFonts w:ascii="Times New Roman" w:hAnsi="Times New Roman"/>
              </w:rPr>
            </w:pPr>
            <w:r>
              <w:rPr/>
              <w:t>loss of rural landscape character</w:t>
            </w:r>
          </w:p>
          <w:p>
            <w:pPr>
              <w:pStyle w:val="NormalWeb"/>
              <w:numPr>
                <w:ilvl w:val="0"/>
                <w:numId w:val="8"/>
              </w:numPr>
              <w:tabs>
                <w:tab w:val="left" w:pos="720" w:leader="none"/>
              </w:tabs>
              <w:bidi w:val="0"/>
              <w:spacing w:before="100" w:after="100"/>
              <w:ind w:hanging="360" w:left="720" w:right="0"/>
              <w:rPr>
                <w:rFonts w:ascii="Times New Roman" w:hAnsi="Times New Roman"/>
              </w:rPr>
            </w:pPr>
            <w:r>
              <w:rPr/>
              <w:t>erosion of settlement identity</w:t>
            </w:r>
          </w:p>
          <w:p>
            <w:pPr>
              <w:pStyle w:val="NormalWeb"/>
              <w:bidi w:val="0"/>
              <w:spacing w:before="100" w:after="100"/>
              <w:rPr>
                <w:rFonts w:ascii="Times New Roman" w:hAnsi="Times New Roman"/>
              </w:rPr>
            </w:pPr>
            <w:r>
              <w:rPr/>
              <w:t xml:space="preserve">This contradicts </w:t>
            </w:r>
            <w:r>
              <w:rPr>
                <w:rStyle w:val="Strong"/>
                <w:lang w:val="en-GB" w:eastAsia="en-GB" w:bidi="ar-SA"/>
              </w:rPr>
              <w:t>NPPF §127–130</w:t>
            </w:r>
            <w:r>
              <w:rPr/>
              <w:t xml:space="preserve"> (character and identity) and </w:t>
            </w:r>
            <w:r>
              <w:rPr>
                <w:rStyle w:val="Strong"/>
                <w:lang w:val="en-GB" w:eastAsia="en-GB" w:bidi="ar-SA"/>
              </w:rPr>
              <w:t>§174</w:t>
            </w:r>
            <w:r>
              <w:rPr/>
              <w:t xml:space="preserve"> (landscape protection).</w:t>
            </w:r>
          </w:p>
          <w:p>
            <w:pPr>
              <w:pStyle w:val="NormalWeb"/>
              <w:bidi w:val="0"/>
              <w:spacing w:before="100" w:after="100"/>
              <w:rPr>
                <w:rFonts w:ascii="Times New Roman" w:hAnsi="Times New Roman"/>
              </w:rPr>
            </w:pPr>
            <w:r>
              <w:rPr>
                <w:rStyle w:val="Strong"/>
                <w:lang w:val="en-GB" w:eastAsia="en-GB" w:bidi="ar-SA"/>
              </w:rPr>
              <w:t>Evidence used:</w:t>
            </w:r>
            <w:r>
              <w:rPr/>
              <w:t xml:space="preserve"> Comparison table rows: </w:t>
            </w:r>
            <w:r>
              <w:rPr>
                <w:rStyle w:val="Emphasis"/>
                <w:lang w:val="en-GB" w:eastAsia="en-GB" w:bidi="ar-SA"/>
              </w:rPr>
              <w:t>Settlement identity</w:t>
            </w:r>
            <w:r>
              <w:rPr/>
              <w:t xml:space="preserve">, </w:t>
            </w:r>
            <w:r>
              <w:rPr>
                <w:rStyle w:val="Emphasis"/>
                <w:lang w:val="en-GB" w:eastAsia="en-GB" w:bidi="ar-SA"/>
              </w:rPr>
              <w:t>Landscape sensitivity</w:t>
            </w:r>
            <w:r>
              <w:rPr/>
              <w:t xml:space="preserve">, </w:t>
            </w:r>
            <w:r>
              <w:rPr>
                <w:rStyle w:val="Emphasis"/>
                <w:lang w:val="en-GB" w:eastAsia="en-GB" w:bidi="ar-SA"/>
              </w:rPr>
              <w:t>Coalescence risk</w:t>
            </w:r>
            <w:r>
              <w:rPr/>
              <w:t xml:space="preserve">, </w:t>
            </w:r>
            <w:r>
              <w:rPr>
                <w:rStyle w:val="Emphasis"/>
                <w:lang w:val="en-GB" w:eastAsia="en-GB" w:bidi="ar-SA"/>
              </w:rPr>
              <w:t>Green infrastructure</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RESPONSE 5 — Infrastructure Requirements Changed Without Evidence</w:t>
            </w:r>
          </w:p>
          <w:p>
            <w:pPr>
              <w:pStyle w:val="NormalWeb"/>
              <w:bidi w:val="0"/>
              <w:spacing w:before="100" w:after="100"/>
              <w:rPr>
                <w:rFonts w:ascii="Times New Roman" w:hAnsi="Times New Roman"/>
              </w:rPr>
            </w:pPr>
            <w:r>
              <w:rPr>
                <w:rStyle w:val="Strong"/>
                <w:lang w:val="en-GB" w:eastAsia="en-GB" w:bidi="ar-SA"/>
              </w:rPr>
              <w:t>Tests of Soundness: Not Effective (NPPF §35)</w:t>
            </w:r>
          </w:p>
          <w:p>
            <w:pPr>
              <w:pStyle w:val="NormalWeb"/>
              <w:bidi w:val="0"/>
              <w:spacing w:before="100" w:after="100"/>
              <w:rPr>
                <w:rFonts w:ascii="Times New Roman" w:hAnsi="Times New Roman"/>
              </w:rPr>
            </w:pPr>
            <w:r>
              <w:rPr/>
              <w:t>Reg 18 assumed:</w:t>
            </w:r>
          </w:p>
          <w:p>
            <w:pPr>
              <w:pStyle w:val="NormalWeb"/>
              <w:numPr>
                <w:ilvl w:val="0"/>
                <w:numId w:val="9"/>
              </w:numPr>
              <w:tabs>
                <w:tab w:val="left" w:pos="720" w:leader="none"/>
              </w:tabs>
              <w:bidi w:val="0"/>
              <w:spacing w:before="100" w:after="100"/>
              <w:ind w:hanging="360" w:left="720" w:right="0"/>
              <w:rPr>
                <w:rFonts w:ascii="Times New Roman" w:hAnsi="Times New Roman"/>
              </w:rPr>
            </w:pPr>
            <w:r>
              <w:rPr/>
              <w:t>limited additional infrastructure</w:t>
            </w:r>
          </w:p>
          <w:p>
            <w:pPr>
              <w:pStyle w:val="NormalWeb"/>
              <w:numPr>
                <w:ilvl w:val="0"/>
                <w:numId w:val="9"/>
              </w:numPr>
              <w:tabs>
                <w:tab w:val="left" w:pos="720" w:leader="none"/>
              </w:tabs>
              <w:bidi w:val="0"/>
              <w:spacing w:before="100" w:after="100"/>
              <w:ind w:hanging="360" w:left="720" w:right="0"/>
              <w:rPr>
                <w:rFonts w:ascii="Times New Roman" w:hAnsi="Times New Roman"/>
              </w:rPr>
            </w:pPr>
            <w:r>
              <w:rPr/>
              <w:t>modest school expansion</w:t>
            </w:r>
          </w:p>
          <w:p>
            <w:pPr>
              <w:pStyle w:val="NormalWeb"/>
              <w:numPr>
                <w:ilvl w:val="0"/>
                <w:numId w:val="9"/>
              </w:numPr>
              <w:tabs>
                <w:tab w:val="left" w:pos="720" w:leader="none"/>
              </w:tabs>
              <w:bidi w:val="0"/>
              <w:spacing w:before="100" w:after="100"/>
              <w:ind w:hanging="360" w:left="720" w:right="0"/>
              <w:rPr>
                <w:rFonts w:ascii="Times New Roman" w:hAnsi="Times New Roman"/>
              </w:rPr>
            </w:pPr>
            <w:r>
              <w:rPr/>
              <w:t>minor utilities upgrades</w:t>
            </w:r>
          </w:p>
          <w:p>
            <w:pPr>
              <w:pStyle w:val="NormalWeb"/>
              <w:numPr>
                <w:ilvl w:val="0"/>
                <w:numId w:val="9"/>
              </w:numPr>
              <w:tabs>
                <w:tab w:val="left" w:pos="720" w:leader="none"/>
              </w:tabs>
              <w:bidi w:val="0"/>
              <w:spacing w:before="100" w:after="100"/>
              <w:ind w:hanging="360" w:left="720" w:right="0"/>
              <w:rPr>
                <w:rFonts w:ascii="Times New Roman" w:hAnsi="Times New Roman"/>
              </w:rPr>
            </w:pPr>
            <w:r>
              <w:rPr/>
              <w:t>incremental transport improvements</w:t>
            </w:r>
          </w:p>
          <w:p>
            <w:pPr>
              <w:pStyle w:val="NormalWeb"/>
              <w:bidi w:val="0"/>
              <w:spacing w:before="100" w:after="100"/>
              <w:rPr>
                <w:rFonts w:ascii="Times New Roman" w:hAnsi="Times New Roman"/>
              </w:rPr>
            </w:pPr>
            <w:r>
              <w:rPr/>
              <w:t>Reg 19 requires:</w:t>
            </w:r>
          </w:p>
          <w:p>
            <w:pPr>
              <w:pStyle w:val="NormalWeb"/>
              <w:numPr>
                <w:ilvl w:val="0"/>
                <w:numId w:val="10"/>
              </w:numPr>
              <w:tabs>
                <w:tab w:val="left" w:pos="720" w:leader="none"/>
              </w:tabs>
              <w:bidi w:val="0"/>
              <w:spacing w:before="100" w:after="100"/>
              <w:ind w:hanging="360" w:left="720" w:right="0"/>
              <w:rPr>
                <w:rFonts w:ascii="Times New Roman" w:hAnsi="Times New Roman"/>
              </w:rPr>
            </w:pPr>
            <w:r>
              <w:rPr/>
              <w:t>multiple new schools</w:t>
            </w:r>
          </w:p>
          <w:p>
            <w:pPr>
              <w:pStyle w:val="NormalWeb"/>
              <w:numPr>
                <w:ilvl w:val="0"/>
                <w:numId w:val="10"/>
              </w:numPr>
              <w:tabs>
                <w:tab w:val="left" w:pos="720" w:leader="none"/>
              </w:tabs>
              <w:bidi w:val="0"/>
              <w:spacing w:before="100" w:after="100"/>
              <w:ind w:hanging="360" w:left="720" w:right="0"/>
              <w:rPr>
                <w:rFonts w:ascii="Times New Roman" w:hAnsi="Times New Roman"/>
              </w:rPr>
            </w:pPr>
            <w:r>
              <w:rPr/>
              <w:t>major wastewater upgrades</w:t>
            </w:r>
          </w:p>
          <w:p>
            <w:pPr>
              <w:pStyle w:val="NormalWeb"/>
              <w:numPr>
                <w:ilvl w:val="0"/>
                <w:numId w:val="10"/>
              </w:numPr>
              <w:tabs>
                <w:tab w:val="left" w:pos="720" w:leader="none"/>
              </w:tabs>
              <w:bidi w:val="0"/>
              <w:spacing w:before="100" w:after="100"/>
              <w:ind w:hanging="360" w:left="720" w:right="0"/>
              <w:rPr>
                <w:rFonts w:ascii="Times New Roman" w:hAnsi="Times New Roman"/>
              </w:rPr>
            </w:pPr>
            <w:r>
              <w:rPr/>
              <w:t>strategic utilities investment</w:t>
            </w:r>
          </w:p>
          <w:p>
            <w:pPr>
              <w:pStyle w:val="NormalWeb"/>
              <w:numPr>
                <w:ilvl w:val="0"/>
                <w:numId w:val="10"/>
              </w:numPr>
              <w:tabs>
                <w:tab w:val="left" w:pos="720" w:leader="none"/>
              </w:tabs>
              <w:bidi w:val="0"/>
              <w:spacing w:before="100" w:after="100"/>
              <w:ind w:hanging="360" w:left="720" w:right="0"/>
              <w:rPr>
                <w:rFonts w:ascii="Times New Roman" w:hAnsi="Times New Roman"/>
              </w:rPr>
            </w:pPr>
            <w:r>
              <w:rPr/>
              <w:t>extensive green infrastructure networks</w:t>
            </w:r>
          </w:p>
          <w:p>
            <w:pPr>
              <w:pStyle w:val="NormalWeb"/>
              <w:numPr>
                <w:ilvl w:val="0"/>
                <w:numId w:val="10"/>
              </w:numPr>
              <w:tabs>
                <w:tab w:val="left" w:pos="720" w:leader="none"/>
              </w:tabs>
              <w:bidi w:val="0"/>
              <w:spacing w:before="100" w:after="100"/>
              <w:ind w:hanging="360" w:left="720" w:right="0"/>
              <w:rPr>
                <w:rFonts w:ascii="Times New Roman" w:hAnsi="Times New Roman"/>
              </w:rPr>
            </w:pPr>
            <w:r>
              <w:rPr/>
              <w:t>major transport interventions</w:t>
            </w:r>
          </w:p>
          <w:p>
            <w:pPr>
              <w:pStyle w:val="NormalWeb"/>
              <w:bidi w:val="0"/>
              <w:spacing w:before="100" w:after="100"/>
              <w:rPr>
                <w:rFonts w:ascii="Times New Roman" w:hAnsi="Times New Roman"/>
              </w:rPr>
            </w:pPr>
            <w:r>
              <w:rPr/>
              <w:t>Yet the plan provides:</w:t>
            </w:r>
          </w:p>
          <w:p>
            <w:pPr>
              <w:pStyle w:val="NormalWeb"/>
              <w:numPr>
                <w:ilvl w:val="0"/>
                <w:numId w:val="11"/>
              </w:numPr>
              <w:tabs>
                <w:tab w:val="left" w:pos="720" w:leader="none"/>
              </w:tabs>
              <w:bidi w:val="0"/>
              <w:spacing w:before="100" w:after="100"/>
              <w:ind w:hanging="360" w:left="720" w:right="0"/>
              <w:rPr>
                <w:rFonts w:ascii="Times New Roman" w:hAnsi="Times New Roman"/>
              </w:rPr>
            </w:pPr>
            <w:r>
              <w:rPr/>
              <w:t>no funded delivery plan</w:t>
            </w:r>
          </w:p>
          <w:p>
            <w:pPr>
              <w:pStyle w:val="NormalWeb"/>
              <w:numPr>
                <w:ilvl w:val="0"/>
                <w:numId w:val="11"/>
              </w:numPr>
              <w:tabs>
                <w:tab w:val="left" w:pos="720" w:leader="none"/>
              </w:tabs>
              <w:bidi w:val="0"/>
              <w:spacing w:before="100" w:after="100"/>
              <w:ind w:hanging="360" w:left="720" w:right="0"/>
              <w:rPr>
                <w:rFonts w:ascii="Times New Roman" w:hAnsi="Times New Roman"/>
              </w:rPr>
            </w:pPr>
            <w:r>
              <w:rPr/>
              <w:t>no phasing triggers</w:t>
            </w:r>
          </w:p>
          <w:p>
            <w:pPr>
              <w:pStyle w:val="NormalWeb"/>
              <w:numPr>
                <w:ilvl w:val="0"/>
                <w:numId w:val="11"/>
              </w:numPr>
              <w:tabs>
                <w:tab w:val="left" w:pos="720" w:leader="none"/>
              </w:tabs>
              <w:bidi w:val="0"/>
              <w:spacing w:before="100" w:after="100"/>
              <w:ind w:hanging="360" w:left="720" w:right="0"/>
              <w:rPr>
                <w:rFonts w:ascii="Times New Roman" w:hAnsi="Times New Roman"/>
              </w:rPr>
            </w:pPr>
            <w:r>
              <w:rPr/>
              <w:t>no viability evidence</w:t>
            </w:r>
          </w:p>
          <w:p>
            <w:pPr>
              <w:pStyle w:val="NormalWeb"/>
              <w:numPr>
                <w:ilvl w:val="0"/>
                <w:numId w:val="11"/>
              </w:numPr>
              <w:tabs>
                <w:tab w:val="left" w:pos="720" w:leader="none"/>
              </w:tabs>
              <w:bidi w:val="0"/>
              <w:spacing w:before="100" w:after="100"/>
              <w:ind w:hanging="360" w:left="720" w:right="0"/>
              <w:rPr>
                <w:rFonts w:ascii="Times New Roman" w:hAnsi="Times New Roman"/>
              </w:rPr>
            </w:pPr>
            <w:r>
              <w:rPr/>
              <w:t>no infrastructure-first guarantees</w:t>
            </w:r>
          </w:p>
          <w:p>
            <w:pPr>
              <w:pStyle w:val="NormalWeb"/>
              <w:bidi w:val="0"/>
              <w:spacing w:before="100" w:after="100"/>
              <w:rPr>
                <w:rFonts w:ascii="Times New Roman" w:hAnsi="Times New Roman"/>
              </w:rPr>
            </w:pPr>
            <w:r>
              <w:rPr/>
              <w:t xml:space="preserve">This makes the allocation </w:t>
            </w:r>
            <w:r>
              <w:rPr>
                <w:rStyle w:val="Strong"/>
                <w:lang w:val="en-GB" w:eastAsia="en-GB" w:bidi="ar-SA"/>
              </w:rPr>
              <w:t>not effective</w:t>
            </w:r>
            <w:r>
              <w:rPr/>
              <w:t>.</w:t>
            </w:r>
          </w:p>
          <w:p>
            <w:pPr>
              <w:pStyle w:val="NormalWeb"/>
              <w:bidi w:val="0"/>
              <w:spacing w:before="100" w:after="100"/>
              <w:rPr>
                <w:rFonts w:ascii="Times New Roman" w:hAnsi="Times New Roman"/>
              </w:rPr>
            </w:pPr>
            <w:r>
              <w:rPr>
                <w:rStyle w:val="Strong"/>
                <w:lang w:val="en-GB" w:eastAsia="en-GB" w:bidi="ar-SA"/>
              </w:rPr>
              <w:t>Evidence used:</w:t>
            </w:r>
            <w:r>
              <w:rPr/>
              <w:t xml:space="preserve"> Comparison table rows: </w:t>
            </w:r>
            <w:r>
              <w:rPr>
                <w:rStyle w:val="Emphasis"/>
                <w:lang w:val="en-GB" w:eastAsia="en-GB" w:bidi="ar-SA"/>
              </w:rPr>
              <w:t>Schools</w:t>
            </w:r>
            <w:r>
              <w:rPr/>
              <w:t xml:space="preserve">, </w:t>
            </w:r>
            <w:r>
              <w:rPr>
                <w:rStyle w:val="Emphasis"/>
                <w:lang w:val="en-GB" w:eastAsia="en-GB" w:bidi="ar-SA"/>
              </w:rPr>
              <w:t>Wastewater</w:t>
            </w:r>
            <w:r>
              <w:rPr/>
              <w:t xml:space="preserve">, </w:t>
            </w:r>
            <w:r>
              <w:rPr>
                <w:rStyle w:val="Emphasis"/>
                <w:lang w:val="en-GB" w:eastAsia="en-GB" w:bidi="ar-SA"/>
              </w:rPr>
              <w:t>Utilities</w:t>
            </w:r>
            <w:r>
              <w:rPr/>
              <w:t xml:space="preserve">, </w:t>
            </w:r>
            <w:r>
              <w:rPr>
                <w:rStyle w:val="Emphasis"/>
                <w:lang w:val="en-GB" w:eastAsia="en-GB" w:bidi="ar-SA"/>
              </w:rPr>
              <w:t>Green infrastructure</w:t>
            </w:r>
            <w:r>
              <w:rPr/>
              <w:t xml:space="preserve">, </w:t>
            </w:r>
            <w:r>
              <w:rPr>
                <w:rStyle w:val="Emphasis"/>
                <w:lang w:val="en-GB" w:eastAsia="en-GB" w:bidi="ar-SA"/>
              </w:rPr>
              <w:t>Deliverability</w:t>
            </w:r>
            <w:r>
              <w:rPr/>
              <w:t xml:space="preserve">, </w:t>
            </w:r>
            <w:r>
              <w:rPr>
                <w:rStyle w:val="Emphasis"/>
                <w:lang w:val="en-GB" w:eastAsia="en-GB" w:bidi="ar-SA"/>
              </w:rPr>
              <w:t>Infrastructure-first approach</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RESPONSE 6 — Masterplanning Inconsistency and Conflict with Existing Permissions</w:t>
            </w:r>
          </w:p>
          <w:p>
            <w:pPr>
              <w:pStyle w:val="NormalWeb"/>
              <w:bidi w:val="0"/>
              <w:spacing w:before="100" w:after="100"/>
              <w:rPr>
                <w:rFonts w:ascii="Times New Roman" w:hAnsi="Times New Roman"/>
              </w:rPr>
            </w:pPr>
            <w:r>
              <w:rPr>
                <w:rStyle w:val="Strong"/>
                <w:lang w:val="en-GB" w:eastAsia="en-GB" w:bidi="ar-SA"/>
              </w:rPr>
              <w:t>Tests of Soundness: Not Effective (NPPF §128–134)</w:t>
            </w:r>
          </w:p>
          <w:p>
            <w:pPr>
              <w:pStyle w:val="NormalWeb"/>
              <w:bidi w:val="0"/>
              <w:spacing w:before="100" w:after="100"/>
              <w:rPr>
                <w:rFonts w:ascii="Times New Roman" w:hAnsi="Times New Roman"/>
              </w:rPr>
            </w:pPr>
            <w:r>
              <w:rPr/>
              <w:t>Reg 18 assumed the existing Garden Village masterplan would continue. Reg 19 requires:</w:t>
            </w:r>
          </w:p>
          <w:p>
            <w:pPr>
              <w:pStyle w:val="NormalWeb"/>
              <w:numPr>
                <w:ilvl w:val="0"/>
                <w:numId w:val="12"/>
              </w:numPr>
              <w:tabs>
                <w:tab w:val="left" w:pos="720" w:leader="none"/>
              </w:tabs>
              <w:bidi w:val="0"/>
              <w:spacing w:before="100" w:after="100"/>
              <w:ind w:hanging="360" w:left="720" w:right="0"/>
              <w:rPr>
                <w:rFonts w:ascii="Times New Roman" w:hAnsi="Times New Roman"/>
              </w:rPr>
            </w:pPr>
            <w:r>
              <w:rPr/>
              <w:t>a new masterplan</w:t>
            </w:r>
          </w:p>
          <w:p>
            <w:pPr>
              <w:pStyle w:val="NormalWeb"/>
              <w:numPr>
                <w:ilvl w:val="0"/>
                <w:numId w:val="12"/>
              </w:numPr>
              <w:tabs>
                <w:tab w:val="left" w:pos="720" w:leader="none"/>
              </w:tabs>
              <w:bidi w:val="0"/>
              <w:spacing w:before="100" w:after="100"/>
              <w:ind w:hanging="360" w:left="720" w:right="0"/>
              <w:rPr>
                <w:rFonts w:ascii="Times New Roman" w:hAnsi="Times New Roman"/>
              </w:rPr>
            </w:pPr>
            <w:r>
              <w:rPr/>
              <w:t>a new design code</w:t>
            </w:r>
          </w:p>
          <w:p>
            <w:pPr>
              <w:pStyle w:val="NormalWeb"/>
              <w:numPr>
                <w:ilvl w:val="0"/>
                <w:numId w:val="12"/>
              </w:numPr>
              <w:tabs>
                <w:tab w:val="left" w:pos="720" w:leader="none"/>
              </w:tabs>
              <w:bidi w:val="0"/>
              <w:spacing w:before="100" w:after="100"/>
              <w:ind w:hanging="360" w:left="720" w:right="0"/>
              <w:rPr>
                <w:rFonts w:ascii="Times New Roman" w:hAnsi="Times New Roman"/>
              </w:rPr>
            </w:pPr>
            <w:r>
              <w:rPr/>
              <w:t>integration of existing permissions</w:t>
            </w:r>
          </w:p>
          <w:p>
            <w:pPr>
              <w:pStyle w:val="NormalWeb"/>
              <w:numPr>
                <w:ilvl w:val="0"/>
                <w:numId w:val="12"/>
              </w:numPr>
              <w:tabs>
                <w:tab w:val="left" w:pos="720" w:leader="none"/>
              </w:tabs>
              <w:bidi w:val="0"/>
              <w:spacing w:before="100" w:after="100"/>
              <w:ind w:hanging="360" w:left="720" w:right="0"/>
              <w:rPr>
                <w:rFonts w:ascii="Times New Roman" w:hAnsi="Times New Roman"/>
              </w:rPr>
            </w:pPr>
            <w:r>
              <w:rPr/>
              <w:t>redesign of settlement structure</w:t>
            </w:r>
          </w:p>
          <w:p>
            <w:pPr>
              <w:pStyle w:val="NormalWeb"/>
              <w:bidi w:val="0"/>
              <w:spacing w:before="100" w:after="100"/>
              <w:rPr>
                <w:rFonts w:ascii="Times New Roman" w:hAnsi="Times New Roman"/>
              </w:rPr>
            </w:pPr>
            <w:r>
              <w:rPr/>
              <w:t>This creates:</w:t>
            </w:r>
          </w:p>
          <w:p>
            <w:pPr>
              <w:pStyle w:val="NormalWeb"/>
              <w:numPr>
                <w:ilvl w:val="0"/>
                <w:numId w:val="13"/>
              </w:numPr>
              <w:tabs>
                <w:tab w:val="left" w:pos="720" w:leader="none"/>
              </w:tabs>
              <w:bidi w:val="0"/>
              <w:spacing w:before="100" w:after="100"/>
              <w:ind w:hanging="360" w:left="720" w:right="0"/>
              <w:rPr>
                <w:rFonts w:ascii="Times New Roman" w:hAnsi="Times New Roman"/>
              </w:rPr>
            </w:pPr>
            <w:r>
              <w:rPr/>
              <w:t>conflict with approved layouts</w:t>
            </w:r>
          </w:p>
          <w:p>
            <w:pPr>
              <w:pStyle w:val="NormalWeb"/>
              <w:numPr>
                <w:ilvl w:val="0"/>
                <w:numId w:val="13"/>
              </w:numPr>
              <w:tabs>
                <w:tab w:val="left" w:pos="720" w:leader="none"/>
              </w:tabs>
              <w:bidi w:val="0"/>
              <w:spacing w:before="100" w:after="100"/>
              <w:ind w:hanging="360" w:left="720" w:right="0"/>
              <w:rPr>
                <w:rFonts w:ascii="Times New Roman" w:hAnsi="Times New Roman"/>
              </w:rPr>
            </w:pPr>
            <w:r>
              <w:rPr/>
              <w:t>uncertainty for developers</w:t>
            </w:r>
          </w:p>
          <w:p>
            <w:pPr>
              <w:pStyle w:val="NormalWeb"/>
              <w:numPr>
                <w:ilvl w:val="0"/>
                <w:numId w:val="13"/>
              </w:numPr>
              <w:tabs>
                <w:tab w:val="left" w:pos="720" w:leader="none"/>
              </w:tabs>
              <w:bidi w:val="0"/>
              <w:spacing w:before="100" w:after="100"/>
              <w:ind w:hanging="360" w:left="720" w:right="0"/>
              <w:rPr>
                <w:rFonts w:ascii="Times New Roman" w:hAnsi="Times New Roman"/>
              </w:rPr>
            </w:pPr>
            <w:r>
              <w:rPr/>
              <w:t>risk of delay</w:t>
            </w:r>
          </w:p>
          <w:p>
            <w:pPr>
              <w:pStyle w:val="NormalWeb"/>
              <w:numPr>
                <w:ilvl w:val="0"/>
                <w:numId w:val="13"/>
              </w:numPr>
              <w:tabs>
                <w:tab w:val="left" w:pos="720" w:leader="none"/>
              </w:tabs>
              <w:bidi w:val="0"/>
              <w:spacing w:before="100" w:after="100"/>
              <w:ind w:hanging="360" w:left="720" w:right="0"/>
              <w:rPr>
                <w:rFonts w:ascii="Times New Roman" w:hAnsi="Times New Roman"/>
              </w:rPr>
            </w:pPr>
            <w:r>
              <w:rPr/>
              <w:t>risk of redesign</w:t>
            </w:r>
          </w:p>
          <w:p>
            <w:pPr>
              <w:pStyle w:val="NormalWeb"/>
              <w:numPr>
                <w:ilvl w:val="0"/>
                <w:numId w:val="13"/>
              </w:numPr>
              <w:tabs>
                <w:tab w:val="left" w:pos="720" w:leader="none"/>
              </w:tabs>
              <w:bidi w:val="0"/>
              <w:spacing w:before="100" w:after="100"/>
              <w:ind w:hanging="360" w:left="720" w:right="0"/>
              <w:rPr>
                <w:rFonts w:ascii="Times New Roman" w:hAnsi="Times New Roman"/>
              </w:rPr>
            </w:pPr>
            <w:r>
              <w:rPr/>
              <w:t>inconsistency in place-making</w:t>
            </w:r>
          </w:p>
          <w:p>
            <w:pPr>
              <w:pStyle w:val="NormalWeb"/>
              <w:bidi w:val="0"/>
              <w:spacing w:before="100" w:after="100"/>
              <w:rPr>
                <w:rFonts w:ascii="Times New Roman" w:hAnsi="Times New Roman"/>
              </w:rPr>
            </w:pPr>
            <w:r>
              <w:rPr/>
              <w:t xml:space="preserve">This undermines effectiveness and contradicts </w:t>
            </w:r>
            <w:r>
              <w:rPr>
                <w:rStyle w:val="Strong"/>
                <w:lang w:val="en-GB" w:eastAsia="en-GB" w:bidi="ar-SA"/>
              </w:rPr>
              <w:t>NPPF §128–134</w:t>
            </w:r>
            <w:r>
              <w:rPr/>
              <w:t>.</w:t>
            </w:r>
          </w:p>
          <w:p>
            <w:pPr>
              <w:pStyle w:val="NormalWeb"/>
              <w:bidi w:val="0"/>
              <w:spacing w:before="100" w:after="100"/>
              <w:rPr>
                <w:rFonts w:ascii="Times New Roman" w:hAnsi="Times New Roman"/>
              </w:rPr>
            </w:pPr>
            <w:r>
              <w:rPr>
                <w:rStyle w:val="Strong"/>
                <w:lang w:val="en-GB" w:eastAsia="en-GB" w:bidi="ar-SA"/>
              </w:rPr>
              <w:t>Evidence used:</w:t>
            </w:r>
            <w:r>
              <w:rPr/>
              <w:t xml:space="preserve"> Comparison table rows: </w:t>
            </w:r>
            <w:r>
              <w:rPr>
                <w:rStyle w:val="Emphasis"/>
                <w:lang w:val="en-GB" w:eastAsia="en-GB" w:bidi="ar-SA"/>
              </w:rPr>
              <w:t>Masterplanning</w:t>
            </w:r>
            <w:r>
              <w:rPr/>
              <w:t xml:space="preserve">, </w:t>
            </w:r>
            <w:r>
              <w:rPr>
                <w:rStyle w:val="Emphasis"/>
                <w:lang w:val="en-GB" w:eastAsia="en-GB" w:bidi="ar-SA"/>
              </w:rPr>
              <w:t>Deliverability</w:t>
            </w:r>
            <w:r>
              <w:rPr/>
              <w:t xml:space="preserve">, </w:t>
            </w:r>
            <w:r>
              <w:rPr>
                <w:rStyle w:val="Emphasis"/>
                <w:lang w:val="en-GB" w:eastAsia="en-GB" w:bidi="ar-SA"/>
              </w:rPr>
              <w:t>Evidence base</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RESPONSE 7 — Evidence Base Not Proportionate or Robust</w:t>
            </w:r>
          </w:p>
          <w:p>
            <w:pPr>
              <w:pStyle w:val="NormalWeb"/>
              <w:bidi w:val="0"/>
              <w:spacing w:before="100" w:after="100"/>
              <w:rPr>
                <w:rFonts w:ascii="Times New Roman" w:hAnsi="Times New Roman"/>
              </w:rPr>
            </w:pPr>
            <w:r>
              <w:rPr>
                <w:rStyle w:val="Strong"/>
                <w:lang w:val="en-GB" w:eastAsia="en-GB" w:bidi="ar-SA"/>
              </w:rPr>
              <w:t>Tests of Soundness: Not Justified (NPPF §31)</w:t>
            </w:r>
          </w:p>
          <w:p>
            <w:pPr>
              <w:pStyle w:val="NormalWeb"/>
              <w:bidi w:val="0"/>
              <w:spacing w:before="100" w:after="100"/>
              <w:rPr>
                <w:rFonts w:ascii="Times New Roman" w:hAnsi="Times New Roman"/>
              </w:rPr>
            </w:pPr>
            <w:r>
              <w:rPr/>
              <w:t>Reg 19 introduces:</w:t>
            </w:r>
          </w:p>
          <w:p>
            <w:pPr>
              <w:pStyle w:val="NormalWeb"/>
              <w:numPr>
                <w:ilvl w:val="0"/>
                <w:numId w:val="14"/>
              </w:numPr>
              <w:tabs>
                <w:tab w:val="left" w:pos="720" w:leader="none"/>
              </w:tabs>
              <w:bidi w:val="0"/>
              <w:spacing w:before="100" w:after="100"/>
              <w:ind w:hanging="360" w:left="720" w:right="0"/>
              <w:rPr>
                <w:rFonts w:ascii="Times New Roman" w:hAnsi="Times New Roman"/>
              </w:rPr>
            </w:pPr>
            <w:r>
              <w:rPr/>
              <w:t>a new settlement scale</w:t>
            </w:r>
          </w:p>
          <w:p>
            <w:pPr>
              <w:pStyle w:val="NormalWeb"/>
              <w:numPr>
                <w:ilvl w:val="0"/>
                <w:numId w:val="14"/>
              </w:numPr>
              <w:tabs>
                <w:tab w:val="left" w:pos="720" w:leader="none"/>
              </w:tabs>
              <w:bidi w:val="0"/>
              <w:spacing w:before="100" w:after="100"/>
              <w:ind w:hanging="360" w:left="720" w:right="0"/>
              <w:rPr>
                <w:rFonts w:ascii="Times New Roman" w:hAnsi="Times New Roman"/>
              </w:rPr>
            </w:pPr>
            <w:r>
              <w:rPr/>
              <w:t>new infrastructure requirements</w:t>
            </w:r>
          </w:p>
          <w:p>
            <w:pPr>
              <w:pStyle w:val="NormalWeb"/>
              <w:numPr>
                <w:ilvl w:val="0"/>
                <w:numId w:val="14"/>
              </w:numPr>
              <w:tabs>
                <w:tab w:val="left" w:pos="720" w:leader="none"/>
              </w:tabs>
              <w:bidi w:val="0"/>
              <w:spacing w:before="100" w:after="100"/>
              <w:ind w:hanging="360" w:left="720" w:right="0"/>
              <w:rPr>
                <w:rFonts w:ascii="Times New Roman" w:hAnsi="Times New Roman"/>
              </w:rPr>
            </w:pPr>
            <w:r>
              <w:rPr/>
              <w:t>new transport interventions</w:t>
            </w:r>
          </w:p>
          <w:p>
            <w:pPr>
              <w:pStyle w:val="NormalWeb"/>
              <w:numPr>
                <w:ilvl w:val="0"/>
                <w:numId w:val="14"/>
              </w:numPr>
              <w:tabs>
                <w:tab w:val="left" w:pos="720" w:leader="none"/>
              </w:tabs>
              <w:bidi w:val="0"/>
              <w:spacing w:before="100" w:after="100"/>
              <w:ind w:hanging="360" w:left="720" w:right="0"/>
              <w:rPr>
                <w:rFonts w:ascii="Times New Roman" w:hAnsi="Times New Roman"/>
              </w:rPr>
            </w:pPr>
            <w:r>
              <w:rPr/>
              <w:t>new masterplanning obligations</w:t>
            </w:r>
          </w:p>
          <w:p>
            <w:pPr>
              <w:pStyle w:val="NormalWeb"/>
              <w:bidi w:val="0"/>
              <w:spacing w:before="100" w:after="100"/>
              <w:rPr>
                <w:rFonts w:ascii="Times New Roman" w:hAnsi="Times New Roman"/>
              </w:rPr>
            </w:pPr>
            <w:r>
              <w:rPr/>
              <w:t xml:space="preserve">But does </w:t>
            </w:r>
            <w:r>
              <w:rPr>
                <w:rStyle w:val="Strong"/>
                <w:lang w:val="en-GB" w:eastAsia="en-GB" w:bidi="ar-SA"/>
              </w:rPr>
              <w:t>not</w:t>
            </w:r>
            <w:r>
              <w:rPr/>
              <w:t xml:space="preserve"> provide:</w:t>
            </w:r>
          </w:p>
          <w:p>
            <w:pPr>
              <w:pStyle w:val="NormalWeb"/>
              <w:numPr>
                <w:ilvl w:val="0"/>
                <w:numId w:val="15"/>
              </w:numPr>
              <w:tabs>
                <w:tab w:val="left" w:pos="720" w:leader="none"/>
              </w:tabs>
              <w:bidi w:val="0"/>
              <w:spacing w:before="100" w:after="100"/>
              <w:ind w:hanging="360" w:left="720" w:right="0"/>
              <w:rPr>
                <w:rFonts w:ascii="Times New Roman" w:hAnsi="Times New Roman"/>
              </w:rPr>
            </w:pPr>
            <w:r>
              <w:rPr/>
              <w:t>updated HELAA analysis</w:t>
            </w:r>
          </w:p>
          <w:p>
            <w:pPr>
              <w:pStyle w:val="NormalWeb"/>
              <w:numPr>
                <w:ilvl w:val="0"/>
                <w:numId w:val="15"/>
              </w:numPr>
              <w:tabs>
                <w:tab w:val="left" w:pos="720" w:leader="none"/>
              </w:tabs>
              <w:bidi w:val="0"/>
              <w:spacing w:before="100" w:after="100"/>
              <w:ind w:hanging="360" w:left="720" w:right="0"/>
              <w:rPr>
                <w:rFonts w:ascii="Times New Roman" w:hAnsi="Times New Roman"/>
              </w:rPr>
            </w:pPr>
            <w:r>
              <w:rPr/>
              <w:t>updated transport modelling</w:t>
            </w:r>
          </w:p>
          <w:p>
            <w:pPr>
              <w:pStyle w:val="NormalWeb"/>
              <w:numPr>
                <w:ilvl w:val="0"/>
                <w:numId w:val="15"/>
              </w:numPr>
              <w:tabs>
                <w:tab w:val="left" w:pos="720" w:leader="none"/>
              </w:tabs>
              <w:bidi w:val="0"/>
              <w:spacing w:before="100" w:after="100"/>
              <w:ind w:hanging="360" w:left="720" w:right="0"/>
              <w:rPr>
                <w:rFonts w:ascii="Times New Roman" w:hAnsi="Times New Roman"/>
              </w:rPr>
            </w:pPr>
            <w:r>
              <w:rPr/>
              <w:t>updated landscape assessment</w:t>
            </w:r>
          </w:p>
          <w:p>
            <w:pPr>
              <w:pStyle w:val="NormalWeb"/>
              <w:numPr>
                <w:ilvl w:val="0"/>
                <w:numId w:val="15"/>
              </w:numPr>
              <w:tabs>
                <w:tab w:val="left" w:pos="720" w:leader="none"/>
              </w:tabs>
              <w:bidi w:val="0"/>
              <w:spacing w:before="100" w:after="100"/>
              <w:ind w:hanging="360" w:left="720" w:right="0"/>
              <w:rPr>
                <w:rFonts w:ascii="Times New Roman" w:hAnsi="Times New Roman"/>
              </w:rPr>
            </w:pPr>
            <w:r>
              <w:rPr/>
              <w:t>updated wastewater capacity evidence</w:t>
            </w:r>
          </w:p>
          <w:p>
            <w:pPr>
              <w:pStyle w:val="NormalWeb"/>
              <w:numPr>
                <w:ilvl w:val="0"/>
                <w:numId w:val="15"/>
              </w:numPr>
              <w:tabs>
                <w:tab w:val="left" w:pos="720" w:leader="none"/>
              </w:tabs>
              <w:bidi w:val="0"/>
              <w:spacing w:before="100" w:after="100"/>
              <w:ind w:hanging="360" w:left="720" w:right="0"/>
              <w:rPr>
                <w:rFonts w:ascii="Times New Roman" w:hAnsi="Times New Roman"/>
              </w:rPr>
            </w:pPr>
            <w:r>
              <w:rPr/>
              <w:t>updated deliverability testing</w:t>
            </w:r>
          </w:p>
          <w:p>
            <w:pPr>
              <w:pStyle w:val="NormalWeb"/>
              <w:bidi w:val="0"/>
              <w:spacing w:before="100" w:after="100"/>
              <w:rPr>
                <w:rFonts w:ascii="Times New Roman" w:hAnsi="Times New Roman"/>
              </w:rPr>
            </w:pPr>
            <w:r>
              <w:rPr/>
              <w:t xml:space="preserve">This fails </w:t>
            </w:r>
            <w:r>
              <w:rPr>
                <w:rStyle w:val="Strong"/>
                <w:lang w:val="en-GB" w:eastAsia="en-GB" w:bidi="ar-SA"/>
              </w:rPr>
              <w:t>NPPF §31</w:t>
            </w:r>
            <w:r>
              <w:rPr/>
              <w:t>, which requires a proportionate and robust evidence base.</w:t>
            </w:r>
          </w:p>
          <w:p>
            <w:pPr>
              <w:pStyle w:val="NormalWeb"/>
              <w:bidi w:val="0"/>
              <w:spacing w:before="100" w:after="100"/>
              <w:rPr>
                <w:rFonts w:ascii="Times New Roman" w:hAnsi="Times New Roman"/>
              </w:rPr>
            </w:pPr>
            <w:r>
              <w:rPr>
                <w:rStyle w:val="Strong"/>
                <w:lang w:val="en-GB" w:eastAsia="en-GB" w:bidi="ar-SA"/>
              </w:rPr>
              <w:t>Evidence used:</w:t>
            </w:r>
            <w:r>
              <w:rPr/>
              <w:t xml:space="preserve"> Comparison table rows: </w:t>
            </w:r>
            <w:r>
              <w:rPr>
                <w:rStyle w:val="Emphasis"/>
                <w:lang w:val="en-GB" w:eastAsia="en-GB" w:bidi="ar-SA"/>
              </w:rPr>
              <w:t>Evidence base</w:t>
            </w:r>
            <w:r>
              <w:rPr/>
              <w:t xml:space="preserve">, </w:t>
            </w:r>
            <w:r>
              <w:rPr>
                <w:rStyle w:val="Emphasis"/>
                <w:lang w:val="en-GB" w:eastAsia="en-GB" w:bidi="ar-SA"/>
              </w:rPr>
              <w:t>Transport evidence</w:t>
            </w:r>
            <w:r>
              <w:rPr/>
              <w:t xml:space="preserve">, </w:t>
            </w:r>
            <w:r>
              <w:rPr>
                <w:rStyle w:val="Emphasis"/>
                <w:lang w:val="en-GB" w:eastAsia="en-GB" w:bidi="ar-SA"/>
              </w:rPr>
              <w:t>Wastewater</w:t>
            </w:r>
            <w:r>
              <w:rPr/>
              <w:t xml:space="preserve">, </w:t>
            </w:r>
            <w:r>
              <w:rPr>
                <w:rStyle w:val="Emphasis"/>
                <w:lang w:val="en-GB" w:eastAsia="en-GB" w:bidi="ar-SA"/>
              </w:rPr>
              <w:t>Deliverability</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CONCLUSION — Combined Soundness Case</w:t>
            </w:r>
          </w:p>
          <w:p>
            <w:pPr>
              <w:pStyle w:val="NormalWeb"/>
              <w:bidi w:val="0"/>
              <w:spacing w:before="100" w:after="100"/>
              <w:rPr>
                <w:rFonts w:ascii="Times New Roman" w:hAnsi="Times New Roman"/>
              </w:rPr>
            </w:pPr>
            <w:r>
              <w:rPr/>
              <w:t>Using the comparison table as evidence, the Regulation 19 version of Proposal LMA is:</w:t>
            </w:r>
          </w:p>
          <w:p>
            <w:pPr>
              <w:pStyle w:val="NormalWeb"/>
              <w:numPr>
                <w:ilvl w:val="0"/>
                <w:numId w:val="16"/>
              </w:numPr>
              <w:tabs>
                <w:tab w:val="left" w:pos="720" w:leader="none"/>
              </w:tabs>
              <w:bidi w:val="0"/>
              <w:spacing w:before="100" w:after="100"/>
              <w:ind w:hanging="360" w:left="720" w:right="0"/>
              <w:rPr>
                <w:rFonts w:ascii="Times New Roman" w:hAnsi="Times New Roman"/>
              </w:rPr>
            </w:pPr>
            <w:r>
              <w:rPr>
                <w:rStyle w:val="Strong"/>
                <w:lang w:val="en-GB" w:eastAsia="en-GB" w:bidi="ar-SA"/>
              </w:rPr>
              <w:t>Not Justified</w:t>
            </w:r>
          </w:p>
          <w:p>
            <w:pPr>
              <w:pStyle w:val="NormalWeb"/>
              <w:numPr>
                <w:ilvl w:val="0"/>
                <w:numId w:val="16"/>
              </w:numPr>
              <w:tabs>
                <w:tab w:val="left" w:pos="720" w:leader="none"/>
              </w:tabs>
              <w:bidi w:val="0"/>
              <w:spacing w:before="100" w:after="100"/>
              <w:ind w:hanging="360" w:left="720" w:right="0"/>
              <w:rPr>
                <w:rFonts w:ascii="Times New Roman" w:hAnsi="Times New Roman"/>
              </w:rPr>
            </w:pPr>
            <w:r>
              <w:rPr>
                <w:rStyle w:val="Strong"/>
                <w:lang w:val="en-GB" w:eastAsia="en-GB" w:bidi="ar-SA"/>
              </w:rPr>
              <w:t>Not Effective</w:t>
            </w:r>
          </w:p>
          <w:p>
            <w:pPr>
              <w:pStyle w:val="NormalWeb"/>
              <w:numPr>
                <w:ilvl w:val="0"/>
                <w:numId w:val="16"/>
              </w:numPr>
              <w:tabs>
                <w:tab w:val="left" w:pos="720" w:leader="none"/>
              </w:tabs>
              <w:bidi w:val="0"/>
              <w:spacing w:before="100" w:after="100"/>
              <w:ind w:hanging="360" w:left="720" w:right="0"/>
              <w:rPr>
                <w:rFonts w:ascii="Times New Roman" w:hAnsi="Times New Roman"/>
              </w:rPr>
            </w:pPr>
            <w:r>
              <w:rPr>
                <w:rStyle w:val="Strong"/>
                <w:lang w:val="en-GB" w:eastAsia="en-GB" w:bidi="ar-SA"/>
              </w:rPr>
              <w:t>Not Consistent with National Policy</w:t>
            </w:r>
          </w:p>
          <w:p>
            <w:pPr>
              <w:pStyle w:val="NormalWeb"/>
              <w:bidi w:val="0"/>
              <w:spacing w:before="100" w:after="100"/>
              <w:rPr>
                <w:rFonts w:ascii="Times New Roman" w:hAnsi="Times New Roman"/>
              </w:rPr>
            </w:pPr>
            <w:r>
              <w:rPr/>
            </w:r>
          </w:p>
          <w:p>
            <w:pPr>
              <w:pStyle w:val="NormalWeb"/>
              <w:bidi w:val="0"/>
              <w:spacing w:before="100" w:after="100"/>
              <w:rPr>
                <w:rFonts w:ascii="Times New Roman" w:hAnsi="Times New Roman"/>
              </w:rPr>
            </w:pPr>
            <w:r>
              <w:rPr/>
            </w:r>
          </w:p>
          <w:p>
            <w:pPr>
              <w:pStyle w:val="NormalWeb"/>
              <w:bidi w:val="0"/>
              <w:spacing w:before="100" w:after="100"/>
              <w:rPr>
                <w:rFonts w:ascii="Times New Roman" w:hAnsi="Times New Roman"/>
                <w:b/>
                <w:sz w:val="28"/>
                <w:szCs w:val="28"/>
              </w:rPr>
            </w:pPr>
            <w:r>
              <w:rPr>
                <w:b/>
                <w:sz w:val="28"/>
                <w:szCs w:val="28"/>
              </w:rPr>
              <w:t>Comparison Table Regulations 18 to 19</w:t>
            </w:r>
          </w:p>
          <w:tbl>
            <w:tblPr>
              <w:tblW w:w="8396" w:type="dxa"/>
              <w:jc w:val="left"/>
              <w:tblInd w:w="-15" w:type="dxa"/>
              <w:tblLayout w:type="fixed"/>
              <w:tblCellMar>
                <w:top w:w="15" w:type="dxa"/>
                <w:left w:w="15" w:type="dxa"/>
                <w:bottom w:w="15" w:type="dxa"/>
                <w:right w:w="15" w:type="dxa"/>
              </w:tblCellMar>
            </w:tblPr>
            <w:tblGrid>
              <w:gridCol w:w="8396"/>
            </w:tblGrid>
            <w:tr>
              <w:trPr/>
              <w:tc>
                <w:tcPr>
                  <w:tcW w:w="8396" w:type="dxa"/>
                  <w:tcBorders/>
                  <w:vAlign w:val="center"/>
                </w:tcPr>
                <w:tbl>
                  <w:tblPr>
                    <w:tblW w:w="5000" w:type="pct"/>
                    <w:jc w:val="left"/>
                    <w:tblInd w:w="0" w:type="dxa"/>
                    <w:tblLayout w:type="fixed"/>
                    <w:tblCellMar>
                      <w:top w:w="0" w:type="dxa"/>
                      <w:left w:w="0" w:type="dxa"/>
                      <w:bottom w:w="0" w:type="dxa"/>
                      <w:right w:w="0" w:type="dxa"/>
                    </w:tblCellMar>
                  </w:tblPr>
                  <w:tblGrid>
                    <w:gridCol w:w="1960"/>
                    <w:gridCol w:w="3602"/>
                    <w:gridCol w:w="2804"/>
                  </w:tblGrid>
                  <w:tr>
                    <w:trPr>
                      <w:tblHeader w:val="true"/>
                    </w:trPr>
                    <w:tc>
                      <w:tcPr>
                        <w:tcW w:w="1960" w:type="dxa"/>
                        <w:tcBorders/>
                        <w:vAlign w:val="center"/>
                      </w:tcPr>
                      <w:p>
                        <w:pPr>
                          <w:pStyle w:val="Normal"/>
                          <w:bidi w:val="0"/>
                          <w:ind w:hanging="0" w:left="0" w:right="0"/>
                          <w:jc w:val="center"/>
                          <w:rPr/>
                        </w:pPr>
                        <w:r>
                          <w:rPr>
                            <w:rStyle w:val="Strong"/>
                            <w:lang w:val="en-GB" w:eastAsia="en-GB" w:bidi="ar-SA"/>
                          </w:rPr>
                          <w:t>Topic</w:t>
                        </w:r>
                      </w:p>
                    </w:tc>
                    <w:tc>
                      <w:tcPr>
                        <w:tcW w:w="3602"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Regulation 18 – Preferred Options (Summary)</w:t>
                        </w:r>
                      </w:p>
                    </w:tc>
                    <w:tc>
                      <w:tcPr>
                        <w:tcW w:w="2804"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Regulation 19 – Publication Version (Summary)</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Overall role of LMA</w:t>
                        </w:r>
                      </w:p>
                    </w:tc>
                    <w:tc>
                      <w:tcPr>
                        <w:tcW w:w="3602" w:type="dxa"/>
                        <w:tcBorders/>
                        <w:tcMar>
                          <w:top w:w="15" w:type="dxa"/>
                          <w:left w:w="15" w:type="dxa"/>
                          <w:bottom w:w="15" w:type="dxa"/>
                          <w:right w:w="15" w:type="dxa"/>
                        </w:tcMar>
                        <w:vAlign w:val="center"/>
                      </w:tcPr>
                      <w:p>
                        <w:pPr>
                          <w:pStyle w:val="Normal"/>
                          <w:bidi w:val="0"/>
                          <w:ind w:hanging="0" w:left="0" w:right="0"/>
                          <w:rPr/>
                        </w:pPr>
                        <w:r>
                          <w:rPr/>
                          <w:t xml:space="preserve">Treated as a </w:t>
                        </w:r>
                        <w:r>
                          <w:rPr>
                            <w:rStyle w:val="Emphasis"/>
                            <w:lang w:val="en-GB" w:eastAsia="en-GB" w:bidi="ar-SA"/>
                          </w:rPr>
                          <w:t>Garden Village</w:t>
                          <w:noBreakHyphen/>
                          <w:t>scale expansion</w:t>
                        </w:r>
                        <w:r>
                          <w:rPr/>
                          <w:t xml:space="preserve"> of existing permissions.</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Recast as a </w:t>
                        </w:r>
                        <w:r>
                          <w:rPr>
                            <w:rStyle w:val="Strong"/>
                            <w:lang w:val="en-GB" w:eastAsia="en-GB" w:bidi="ar-SA"/>
                          </w:rPr>
                          <w:t>town</w:t>
                          <w:noBreakHyphen/>
                          <w:t>scale new settlement</w:t>
                        </w:r>
                        <w:r>
                          <w:rPr/>
                          <w:t xml:space="preserve"> and major strategic growth location.</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Scale of development</w:t>
                        </w:r>
                      </w:p>
                    </w:tc>
                    <w:tc>
                      <w:tcPr>
                        <w:tcW w:w="3602" w:type="dxa"/>
                        <w:tcBorders/>
                        <w:tcMar>
                          <w:top w:w="15" w:type="dxa"/>
                          <w:left w:w="15" w:type="dxa"/>
                          <w:bottom w:w="15" w:type="dxa"/>
                          <w:right w:w="15" w:type="dxa"/>
                        </w:tcMar>
                        <w:vAlign w:val="center"/>
                      </w:tcPr>
                      <w:p>
                        <w:pPr>
                          <w:pStyle w:val="Normal"/>
                          <w:bidi w:val="0"/>
                          <w:ind w:hanging="0" w:left="0" w:right="0"/>
                          <w:rPr/>
                        </w:pPr>
                        <w:r>
                          <w:rPr/>
                          <w:t>Modest additional growth; incremental expansion.</w:t>
                        </w:r>
                      </w:p>
                    </w:tc>
                    <w:tc>
                      <w:tcPr>
                        <w:tcW w:w="2804" w:type="dxa"/>
                        <w:tcBorders/>
                        <w:tcMar>
                          <w:top w:w="15" w:type="dxa"/>
                          <w:left w:w="15" w:type="dxa"/>
                          <w:bottom w:w="15" w:type="dxa"/>
                          <w:right w:w="15" w:type="dxa"/>
                        </w:tcMar>
                        <w:vAlign w:val="center"/>
                      </w:tcPr>
                      <w:p>
                        <w:pPr>
                          <w:pStyle w:val="Normal"/>
                          <w:bidi w:val="0"/>
                          <w:ind w:hanging="0" w:left="0" w:right="0"/>
                          <w:rPr/>
                        </w:pPr>
                        <w:r>
                          <w:rPr/>
                          <w:t>Large new community; thousands of homes; major infrastructure required.</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Settlement identity</w:t>
                        </w:r>
                      </w:p>
                    </w:tc>
                    <w:tc>
                      <w:tcPr>
                        <w:tcW w:w="3602" w:type="dxa"/>
                        <w:tcBorders/>
                        <w:tcMar>
                          <w:top w:w="15" w:type="dxa"/>
                          <w:left w:w="15" w:type="dxa"/>
                          <w:bottom w:w="15" w:type="dxa"/>
                          <w:right w:w="15" w:type="dxa"/>
                        </w:tcMar>
                        <w:vAlign w:val="center"/>
                      </w:tcPr>
                      <w:p>
                        <w:pPr>
                          <w:pStyle w:val="Normal"/>
                          <w:bidi w:val="0"/>
                          <w:ind w:hanging="0" w:left="0" w:right="0"/>
                          <w:rPr/>
                        </w:pPr>
                        <w:r>
                          <w:rPr/>
                          <w:t xml:space="preserve">Strong emphasis on </w:t>
                        </w:r>
                        <w:r>
                          <w:rPr>
                            <w:rStyle w:val="Strong"/>
                            <w:lang w:val="en-GB" w:eastAsia="en-GB" w:bidi="ar-SA"/>
                          </w:rPr>
                          <w:t>retaining Garden Village identity</w:t>
                        </w:r>
                        <w:r>
                          <w:rPr/>
                          <w:t xml:space="preserve"> and village</w:t>
                          <w:noBreakHyphen/>
                          <w:t>scale character.</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Garden Village identity effectively </w:t>
                        </w:r>
                        <w:r>
                          <w:rPr>
                            <w:rStyle w:val="Strong"/>
                            <w:lang w:val="en-GB" w:eastAsia="en-GB" w:bidi="ar-SA"/>
                          </w:rPr>
                          <w:t>abandoned</w:t>
                        </w:r>
                        <w:r>
                          <w:rPr/>
                          <w:t>; LMA becomes a standalone new town.</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Strategic status</w:t>
                        </w:r>
                      </w:p>
                    </w:tc>
                    <w:tc>
                      <w:tcPr>
                        <w:tcW w:w="3602" w:type="dxa"/>
                        <w:tcBorders/>
                        <w:tcMar>
                          <w:top w:w="15" w:type="dxa"/>
                          <w:left w:w="15" w:type="dxa"/>
                          <w:bottom w:w="15" w:type="dxa"/>
                          <w:right w:w="15" w:type="dxa"/>
                        </w:tcMar>
                        <w:vAlign w:val="center"/>
                      </w:tcPr>
                      <w:p>
                        <w:pPr>
                          <w:pStyle w:val="Normal"/>
                          <w:bidi w:val="0"/>
                          <w:ind w:hanging="0" w:left="0" w:right="0"/>
                          <w:rPr/>
                        </w:pPr>
                        <w:r>
                          <w:rPr/>
                          <w:t>Not the preferred strategic growth option; secondary to other options (Hatton, Gaydon/Lighthorne, urban extensions).</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Elevated to a </w:t>
                        </w:r>
                        <w:r>
                          <w:rPr>
                            <w:rStyle w:val="Strong"/>
                            <w:lang w:val="en-GB" w:eastAsia="en-GB" w:bidi="ar-SA"/>
                          </w:rPr>
                          <w:t>primary strategic site</w:t>
                        </w:r>
                        <w:r>
                          <w:rPr/>
                          <w:t xml:space="preserve"> without clear justification.</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Transport assumptions</w:t>
                        </w:r>
                      </w:p>
                    </w:tc>
                    <w:tc>
                      <w:tcPr>
                        <w:tcW w:w="3602" w:type="dxa"/>
                        <w:tcBorders/>
                        <w:tcMar>
                          <w:top w:w="15" w:type="dxa"/>
                          <w:left w:w="15" w:type="dxa"/>
                          <w:bottom w:w="15" w:type="dxa"/>
                          <w:right w:w="15" w:type="dxa"/>
                        </w:tcMar>
                        <w:vAlign w:val="center"/>
                      </w:tcPr>
                      <w:p>
                        <w:pPr>
                          <w:pStyle w:val="Normal"/>
                          <w:bidi w:val="0"/>
                          <w:ind w:hanging="0" w:left="0" w:right="0"/>
                          <w:rPr/>
                        </w:pPr>
                        <w:r>
                          <w:rPr/>
                          <w:t xml:space="preserve">Only </w:t>
                        </w:r>
                        <w:r>
                          <w:rPr>
                            <w:rStyle w:val="Strong"/>
                            <w:lang w:val="en-GB" w:eastAsia="en-GB" w:bidi="ar-SA"/>
                          </w:rPr>
                          <w:t>incremental transport improvements</w:t>
                        </w:r>
                        <w:r>
                          <w:rPr/>
                          <w:t xml:space="preserve"> assumed; no strategic interventions.</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Requires </w:t>
                        </w:r>
                        <w:r>
                          <w:rPr>
                            <w:rStyle w:val="Strong"/>
                            <w:lang w:val="en-GB" w:eastAsia="en-GB" w:bidi="ar-SA"/>
                          </w:rPr>
                          <w:t>major strategic transport schemes</w:t>
                        </w:r>
                        <w:r>
                          <w:rPr/>
                          <w:t xml:space="preserve"> (bypass, junction upgrades, new access roads).</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Transport evidence</w:t>
                        </w:r>
                      </w:p>
                    </w:tc>
                    <w:tc>
                      <w:tcPr>
                        <w:tcW w:w="3602" w:type="dxa"/>
                        <w:tcBorders/>
                        <w:tcMar>
                          <w:top w:w="15" w:type="dxa"/>
                          <w:left w:w="15" w:type="dxa"/>
                          <w:bottom w:w="15" w:type="dxa"/>
                          <w:right w:w="15" w:type="dxa"/>
                        </w:tcMar>
                        <w:vAlign w:val="center"/>
                      </w:tcPr>
                      <w:p>
                        <w:pPr>
                          <w:pStyle w:val="Normal"/>
                          <w:bidi w:val="0"/>
                          <w:ind w:hanging="0" w:left="0" w:right="0"/>
                          <w:rPr/>
                        </w:pPr>
                        <w:r>
                          <w:rPr/>
                          <w:t>Constraints acknowledged; no modelling required at this stage.</w:t>
                        </w:r>
                      </w:p>
                    </w:tc>
                    <w:tc>
                      <w:tcPr>
                        <w:tcW w:w="2804" w:type="dxa"/>
                        <w:tcBorders/>
                        <w:tcMar>
                          <w:top w:w="15" w:type="dxa"/>
                          <w:left w:w="15" w:type="dxa"/>
                          <w:bottom w:w="15" w:type="dxa"/>
                          <w:right w:w="15" w:type="dxa"/>
                        </w:tcMar>
                        <w:vAlign w:val="center"/>
                      </w:tcPr>
                      <w:p>
                        <w:pPr>
                          <w:pStyle w:val="Normal"/>
                          <w:bidi w:val="0"/>
                          <w:ind w:hanging="0" w:left="0" w:right="0"/>
                          <w:rPr/>
                        </w:pPr>
                        <w:r>
                          <w:rPr/>
                          <w:t>No modelling published; yet large interventions assumed essential.</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Public transport</w:t>
                        </w:r>
                      </w:p>
                    </w:tc>
                    <w:tc>
                      <w:tcPr>
                        <w:tcW w:w="3602" w:type="dxa"/>
                        <w:tcBorders/>
                        <w:tcMar>
                          <w:top w:w="15" w:type="dxa"/>
                          <w:left w:w="15" w:type="dxa"/>
                          <w:bottom w:w="15" w:type="dxa"/>
                          <w:right w:w="15" w:type="dxa"/>
                        </w:tcMar>
                        <w:vAlign w:val="center"/>
                      </w:tcPr>
                      <w:p>
                        <w:pPr>
                          <w:pStyle w:val="Normal"/>
                          <w:bidi w:val="0"/>
                          <w:ind w:hanging="0" w:left="0" w:right="0"/>
                          <w:rPr/>
                        </w:pPr>
                        <w:r>
                          <w:rPr/>
                          <w:t>Limited expectations; reliance on existing bus services.</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Requires </w:t>
                        </w:r>
                        <w:r>
                          <w:rPr>
                            <w:rStyle w:val="Strong"/>
                            <w:lang w:val="en-GB" w:eastAsia="en-GB" w:bidi="ar-SA"/>
                          </w:rPr>
                          <w:t>new public transport corridors</w:t>
                        </w:r>
                        <w:r>
                          <w:rPr/>
                          <w:t xml:space="preserve"> and enhanced bus networks.</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Active travel</w:t>
                        </w:r>
                      </w:p>
                    </w:tc>
                    <w:tc>
                      <w:tcPr>
                        <w:tcW w:w="3602" w:type="dxa"/>
                        <w:tcBorders/>
                        <w:tcMar>
                          <w:top w:w="15" w:type="dxa"/>
                          <w:left w:w="15" w:type="dxa"/>
                          <w:bottom w:w="15" w:type="dxa"/>
                          <w:right w:w="15" w:type="dxa"/>
                        </w:tcMar>
                        <w:vAlign w:val="center"/>
                      </w:tcPr>
                      <w:p>
                        <w:pPr>
                          <w:pStyle w:val="Normal"/>
                          <w:bidi w:val="0"/>
                          <w:ind w:hanging="0" w:left="0" w:right="0"/>
                          <w:rPr/>
                        </w:pPr>
                        <w:r>
                          <w:rPr/>
                          <w:t>Basic walking/cycling improvements.</w:t>
                        </w:r>
                      </w:p>
                    </w:tc>
                    <w:tc>
                      <w:tcPr>
                        <w:tcW w:w="2804" w:type="dxa"/>
                        <w:tcBorders/>
                        <w:tcMar>
                          <w:top w:w="15" w:type="dxa"/>
                          <w:left w:w="15" w:type="dxa"/>
                          <w:bottom w:w="15" w:type="dxa"/>
                          <w:right w:w="15" w:type="dxa"/>
                        </w:tcMar>
                        <w:vAlign w:val="center"/>
                      </w:tcPr>
                      <w:p>
                        <w:pPr>
                          <w:pStyle w:val="Normal"/>
                          <w:bidi w:val="0"/>
                          <w:ind w:hanging="0" w:left="0" w:right="0"/>
                          <w:rPr/>
                        </w:pPr>
                        <w:r>
                          <w:rPr>
                            <w:rStyle w:val="Strong"/>
                            <w:lang w:val="en-GB" w:eastAsia="en-GB" w:bidi="ar-SA"/>
                          </w:rPr>
                          <w:t>Strategic active travel networks</w:t>
                        </w:r>
                        <w:r>
                          <w:rPr/>
                          <w:t xml:space="preserve"> required across the settlement.</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Road network constraints</w:t>
                        </w:r>
                      </w:p>
                    </w:tc>
                    <w:tc>
                      <w:tcPr>
                        <w:tcW w:w="3602" w:type="dxa"/>
                        <w:tcBorders/>
                        <w:tcMar>
                          <w:top w:w="15" w:type="dxa"/>
                          <w:left w:w="15" w:type="dxa"/>
                          <w:bottom w:w="15" w:type="dxa"/>
                          <w:right w:w="15" w:type="dxa"/>
                        </w:tcMar>
                        <w:vAlign w:val="center"/>
                      </w:tcPr>
                      <w:p>
                        <w:pPr>
                          <w:pStyle w:val="Normal"/>
                          <w:bidi w:val="0"/>
                          <w:ind w:hanging="0" w:left="0" w:right="0"/>
                          <w:rPr/>
                        </w:pPr>
                        <w:r>
                          <w:rPr/>
                          <w:t>B4632 and Campden Road recognised as constrained.</w:t>
                        </w:r>
                      </w:p>
                    </w:tc>
                    <w:tc>
                      <w:tcPr>
                        <w:tcW w:w="2804" w:type="dxa"/>
                        <w:tcBorders/>
                        <w:tcMar>
                          <w:top w:w="15" w:type="dxa"/>
                          <w:left w:w="15" w:type="dxa"/>
                          <w:bottom w:w="15" w:type="dxa"/>
                          <w:right w:w="15" w:type="dxa"/>
                        </w:tcMar>
                        <w:vAlign w:val="center"/>
                      </w:tcPr>
                      <w:p>
                        <w:pPr>
                          <w:pStyle w:val="Normal"/>
                          <w:bidi w:val="0"/>
                          <w:ind w:hanging="0" w:left="0" w:right="0"/>
                          <w:rPr/>
                        </w:pPr>
                        <w:r>
                          <w:rPr/>
                          <w:t>Same constraints remain, but now expected to support a town</w:t>
                          <w:noBreakHyphen/>
                          <w:t>scale settlement.</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Wastewater &amp; utilities</w:t>
                        </w:r>
                      </w:p>
                    </w:tc>
                    <w:tc>
                      <w:tcPr>
                        <w:tcW w:w="3602" w:type="dxa"/>
                        <w:tcBorders/>
                        <w:tcMar>
                          <w:top w:w="15" w:type="dxa"/>
                          <w:left w:w="15" w:type="dxa"/>
                          <w:bottom w:w="15" w:type="dxa"/>
                          <w:right w:w="15" w:type="dxa"/>
                        </w:tcMar>
                        <w:vAlign w:val="center"/>
                      </w:tcPr>
                      <w:p>
                        <w:pPr>
                          <w:pStyle w:val="Normal"/>
                          <w:bidi w:val="0"/>
                          <w:ind w:hanging="0" w:left="0" w:right="0"/>
                          <w:rPr/>
                        </w:pPr>
                        <w:r>
                          <w:rPr/>
                          <w:t>Minor upgrades assumed; constraints noted.</w:t>
                        </w:r>
                      </w:p>
                    </w:tc>
                    <w:tc>
                      <w:tcPr>
                        <w:tcW w:w="2804" w:type="dxa"/>
                        <w:tcBorders/>
                        <w:tcMar>
                          <w:top w:w="15" w:type="dxa"/>
                          <w:left w:w="15" w:type="dxa"/>
                          <w:bottom w:w="15" w:type="dxa"/>
                          <w:right w:w="15" w:type="dxa"/>
                        </w:tcMar>
                        <w:vAlign w:val="center"/>
                      </w:tcPr>
                      <w:p>
                        <w:pPr>
                          <w:pStyle w:val="Normal"/>
                          <w:bidi w:val="0"/>
                          <w:ind w:hanging="0" w:left="0" w:right="0"/>
                          <w:rPr/>
                        </w:pPr>
                        <w:r>
                          <w:rPr>
                            <w:rStyle w:val="Strong"/>
                            <w:lang w:val="en-GB" w:eastAsia="en-GB" w:bidi="ar-SA"/>
                          </w:rPr>
                          <w:t>Major wastewater upgrades</w:t>
                        </w:r>
                        <w:r>
                          <w:rPr/>
                          <w:t xml:space="preserve"> required; capacity not evidenced.</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Schools &amp; education</w:t>
                        </w:r>
                      </w:p>
                    </w:tc>
                    <w:tc>
                      <w:tcPr>
                        <w:tcW w:w="3602" w:type="dxa"/>
                        <w:tcBorders/>
                        <w:tcMar>
                          <w:top w:w="15" w:type="dxa"/>
                          <w:left w:w="15" w:type="dxa"/>
                          <w:bottom w:w="15" w:type="dxa"/>
                          <w:right w:w="15" w:type="dxa"/>
                        </w:tcMar>
                        <w:vAlign w:val="center"/>
                      </w:tcPr>
                      <w:p>
                        <w:pPr>
                          <w:pStyle w:val="Normal"/>
                          <w:bidi w:val="0"/>
                          <w:ind w:hanging="0" w:left="0" w:right="0"/>
                          <w:rPr/>
                        </w:pPr>
                        <w:r>
                          <w:rPr/>
                          <w:t>No new secondary school assumed; limited primary expansion.</w:t>
                        </w:r>
                      </w:p>
                    </w:tc>
                    <w:tc>
                      <w:tcPr>
                        <w:tcW w:w="2804" w:type="dxa"/>
                        <w:tcBorders/>
                        <w:tcMar>
                          <w:top w:w="15" w:type="dxa"/>
                          <w:left w:w="15" w:type="dxa"/>
                          <w:bottom w:w="15" w:type="dxa"/>
                          <w:right w:w="15" w:type="dxa"/>
                        </w:tcMar>
                        <w:vAlign w:val="center"/>
                      </w:tcPr>
                      <w:p>
                        <w:pPr>
                          <w:pStyle w:val="Normal"/>
                          <w:bidi w:val="0"/>
                          <w:ind w:hanging="0" w:left="0" w:right="0"/>
                          <w:rPr/>
                        </w:pPr>
                        <w:r>
                          <w:rPr/>
                          <w:t>Multiple new schools required; major education infrastructure.</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Green infrastructure</w:t>
                        </w:r>
                      </w:p>
                    </w:tc>
                    <w:tc>
                      <w:tcPr>
                        <w:tcW w:w="3602" w:type="dxa"/>
                        <w:tcBorders/>
                        <w:tcMar>
                          <w:top w:w="15" w:type="dxa"/>
                          <w:left w:w="15" w:type="dxa"/>
                          <w:bottom w:w="15" w:type="dxa"/>
                          <w:right w:w="15" w:type="dxa"/>
                        </w:tcMar>
                        <w:vAlign w:val="center"/>
                      </w:tcPr>
                      <w:p>
                        <w:pPr>
                          <w:pStyle w:val="Normal"/>
                          <w:bidi w:val="0"/>
                          <w:ind w:hanging="0" w:left="0" w:right="0"/>
                          <w:rPr/>
                        </w:pPr>
                        <w:r>
                          <w:rPr/>
                          <w:t>Standard Garden Village green corridors.</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Extensive </w:t>
                        </w:r>
                        <w:r>
                          <w:rPr>
                            <w:rStyle w:val="Strong"/>
                            <w:lang w:val="en-GB" w:eastAsia="en-GB" w:bidi="ar-SA"/>
                          </w:rPr>
                          <w:t>strategic green infrastructure networks</w:t>
                        </w:r>
                        <w:r>
                          <w:rPr/>
                          <w:t xml:space="preserve"> required.</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Landscape sensitivity</w:t>
                        </w:r>
                      </w:p>
                    </w:tc>
                    <w:tc>
                      <w:tcPr>
                        <w:tcW w:w="3602" w:type="dxa"/>
                        <w:tcBorders/>
                        <w:tcMar>
                          <w:top w:w="15" w:type="dxa"/>
                          <w:left w:w="15" w:type="dxa"/>
                          <w:bottom w:w="15" w:type="dxa"/>
                          <w:right w:w="15" w:type="dxa"/>
                        </w:tcMar>
                        <w:vAlign w:val="center"/>
                      </w:tcPr>
                      <w:p>
                        <w:pPr>
                          <w:pStyle w:val="Normal"/>
                          <w:bidi w:val="0"/>
                          <w:ind w:hanging="0" w:left="0" w:right="0"/>
                          <w:rPr/>
                        </w:pPr>
                        <w:r>
                          <w:rPr/>
                          <w:t>Landscape constraints highlighted; coalescence concerns noted.</w:t>
                        </w:r>
                      </w:p>
                    </w:tc>
                    <w:tc>
                      <w:tcPr>
                        <w:tcW w:w="2804" w:type="dxa"/>
                        <w:tcBorders/>
                        <w:tcMar>
                          <w:top w:w="15" w:type="dxa"/>
                          <w:left w:w="15" w:type="dxa"/>
                          <w:bottom w:w="15" w:type="dxa"/>
                          <w:right w:w="15" w:type="dxa"/>
                        </w:tcMar>
                        <w:vAlign w:val="center"/>
                      </w:tcPr>
                      <w:p>
                        <w:pPr>
                          <w:pStyle w:val="Normal"/>
                          <w:bidi w:val="0"/>
                          <w:ind w:hanging="0" w:left="0" w:right="0"/>
                          <w:rPr/>
                        </w:pPr>
                        <w:r>
                          <w:rPr/>
                          <w:t>Landscape constraints downplayed; buffers not defined; coalescence risk increased.</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Coalescence risk</w:t>
                        </w:r>
                      </w:p>
                    </w:tc>
                    <w:tc>
                      <w:tcPr>
                        <w:tcW w:w="3602" w:type="dxa"/>
                        <w:tcBorders/>
                        <w:tcMar>
                          <w:top w:w="15" w:type="dxa"/>
                          <w:left w:w="15" w:type="dxa"/>
                          <w:bottom w:w="15" w:type="dxa"/>
                          <w:right w:w="15" w:type="dxa"/>
                        </w:tcMar>
                        <w:vAlign w:val="center"/>
                      </w:tcPr>
                      <w:p>
                        <w:pPr>
                          <w:pStyle w:val="Normal"/>
                          <w:bidi w:val="0"/>
                          <w:ind w:hanging="0" w:left="0" w:right="0"/>
                          <w:rPr/>
                        </w:pPr>
                        <w:r>
                          <w:rPr/>
                          <w:t>Clear risk identified between Long Marston village and Meon Vale.</w:t>
                        </w:r>
                      </w:p>
                    </w:tc>
                    <w:tc>
                      <w:tcPr>
                        <w:tcW w:w="2804" w:type="dxa"/>
                        <w:tcBorders/>
                        <w:tcMar>
                          <w:top w:w="15" w:type="dxa"/>
                          <w:left w:w="15" w:type="dxa"/>
                          <w:bottom w:w="15" w:type="dxa"/>
                          <w:right w:w="15" w:type="dxa"/>
                        </w:tcMar>
                        <w:vAlign w:val="center"/>
                      </w:tcPr>
                      <w:p>
                        <w:pPr>
                          <w:pStyle w:val="Normal"/>
                          <w:bidi w:val="0"/>
                          <w:ind w:hanging="0" w:left="0" w:right="0"/>
                          <w:rPr/>
                        </w:pPr>
                        <w:r>
                          <w:rPr/>
                          <w:t>Risk remains but is not addressed with spatial buffers or policy safeguards.</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Masterplanning</w:t>
                        </w:r>
                      </w:p>
                    </w:tc>
                    <w:tc>
                      <w:tcPr>
                        <w:tcW w:w="3602" w:type="dxa"/>
                        <w:tcBorders/>
                        <w:tcMar>
                          <w:top w:w="15" w:type="dxa"/>
                          <w:left w:w="15" w:type="dxa"/>
                          <w:bottom w:w="15" w:type="dxa"/>
                          <w:right w:w="15" w:type="dxa"/>
                        </w:tcMar>
                        <w:vAlign w:val="center"/>
                      </w:tcPr>
                      <w:p>
                        <w:pPr>
                          <w:pStyle w:val="Normal"/>
                          <w:bidi w:val="0"/>
                          <w:ind w:hanging="0" w:left="0" w:right="0"/>
                          <w:rPr/>
                        </w:pPr>
                        <w:r>
                          <w:rPr/>
                          <w:t>Existing Garden Village masterplan assumed to continue.</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Entirely new </w:t>
                        </w:r>
                        <w:r>
                          <w:rPr>
                            <w:rStyle w:val="Strong"/>
                            <w:lang w:val="en-GB" w:eastAsia="en-GB" w:bidi="ar-SA"/>
                          </w:rPr>
                          <w:t>masterplan and design code</w:t>
                        </w:r>
                        <w:r>
                          <w:rPr/>
                          <w:t xml:space="preserve"> required; conflicts with existing permissions.</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Deliverability</w:t>
                        </w:r>
                      </w:p>
                    </w:tc>
                    <w:tc>
                      <w:tcPr>
                        <w:tcW w:w="3602" w:type="dxa"/>
                        <w:tcBorders/>
                        <w:tcMar>
                          <w:top w:w="15" w:type="dxa"/>
                          <w:left w:w="15" w:type="dxa"/>
                          <w:bottom w:w="15" w:type="dxa"/>
                          <w:right w:w="15" w:type="dxa"/>
                        </w:tcMar>
                        <w:vAlign w:val="center"/>
                      </w:tcPr>
                      <w:p>
                        <w:pPr>
                          <w:pStyle w:val="Normal"/>
                          <w:bidi w:val="0"/>
                          <w:ind w:hanging="0" w:left="0" w:right="0"/>
                          <w:rPr/>
                        </w:pPr>
                        <w:r>
                          <w:rPr/>
                          <w:t>Considered deliverable as a modest expansion.</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Deliverability now </w:t>
                        </w:r>
                        <w:r>
                          <w:rPr>
                            <w:rStyle w:val="Strong"/>
                            <w:lang w:val="en-GB" w:eastAsia="en-GB" w:bidi="ar-SA"/>
                          </w:rPr>
                          <w:t>uncertain</w:t>
                        </w:r>
                        <w:r>
                          <w:rPr/>
                          <w:t xml:space="preserve"> due to reliance on unfunded strategic infrastructure.</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Infrastructure-first approach</w:t>
                        </w:r>
                      </w:p>
                    </w:tc>
                    <w:tc>
                      <w:tcPr>
                        <w:tcW w:w="3602" w:type="dxa"/>
                        <w:tcBorders/>
                        <w:tcMar>
                          <w:top w:w="15" w:type="dxa"/>
                          <w:left w:w="15" w:type="dxa"/>
                          <w:bottom w:w="15" w:type="dxa"/>
                          <w:right w:w="15" w:type="dxa"/>
                        </w:tcMar>
                        <w:vAlign w:val="center"/>
                      </w:tcPr>
                      <w:p>
                        <w:pPr>
                          <w:pStyle w:val="Normal"/>
                          <w:bidi w:val="0"/>
                          <w:ind w:hanging="0" w:left="0" w:right="0"/>
                          <w:rPr/>
                        </w:pPr>
                        <w:r>
                          <w:rPr/>
                          <w:t>Not central to Reg 18 concept.</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Reg 19 requires infrastructure-first but provides </w:t>
                        </w:r>
                        <w:r>
                          <w:rPr>
                            <w:rStyle w:val="Strong"/>
                            <w:lang w:val="en-GB" w:eastAsia="en-GB" w:bidi="ar-SA"/>
                          </w:rPr>
                          <w:t>no binding triggers</w:t>
                        </w:r>
                        <w:r>
                          <w:rPr/>
                          <w:t>.</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Reasonable alternatives</w:t>
                        </w:r>
                      </w:p>
                    </w:tc>
                    <w:tc>
                      <w:tcPr>
                        <w:tcW w:w="3602" w:type="dxa"/>
                        <w:tcBorders/>
                        <w:tcMar>
                          <w:top w:w="15" w:type="dxa"/>
                          <w:left w:w="15" w:type="dxa"/>
                          <w:bottom w:w="15" w:type="dxa"/>
                          <w:right w:w="15" w:type="dxa"/>
                        </w:tcMar>
                        <w:vAlign w:val="center"/>
                      </w:tcPr>
                      <w:p>
                        <w:pPr>
                          <w:pStyle w:val="Normal"/>
                          <w:bidi w:val="0"/>
                          <w:ind w:hanging="0" w:left="0" w:right="0"/>
                          <w:rPr/>
                        </w:pPr>
                        <w:r>
                          <w:rPr/>
                          <w:t>Multiple alternatives presented and consulted on.</w:t>
                        </w:r>
                      </w:p>
                    </w:tc>
                    <w:tc>
                      <w:tcPr>
                        <w:tcW w:w="2804" w:type="dxa"/>
                        <w:tcBorders/>
                        <w:tcMar>
                          <w:top w:w="15" w:type="dxa"/>
                          <w:left w:w="15" w:type="dxa"/>
                          <w:bottom w:w="15" w:type="dxa"/>
                          <w:right w:w="15" w:type="dxa"/>
                        </w:tcMar>
                        <w:vAlign w:val="center"/>
                      </w:tcPr>
                      <w:p>
                        <w:pPr>
                          <w:pStyle w:val="Normal"/>
                          <w:bidi w:val="0"/>
                          <w:ind w:hanging="0" w:left="0" w:right="0"/>
                          <w:rPr/>
                        </w:pPr>
                        <w:r>
                          <w:rPr/>
                          <w:t>Alternatives not reassessed; LMA chosen without comparative justification.</w:t>
                        </w:r>
                      </w:p>
                    </w:tc>
                  </w:tr>
                  <w:tr>
                    <w:trPr/>
                    <w:tc>
                      <w:tcPr>
                        <w:tcW w:w="1960" w:type="dxa"/>
                        <w:tcBorders/>
                        <w:tcMar>
                          <w:top w:w="15" w:type="dxa"/>
                          <w:left w:w="15" w:type="dxa"/>
                          <w:bottom w:w="15" w:type="dxa"/>
                          <w:right w:w="15" w:type="dxa"/>
                        </w:tcMar>
                        <w:vAlign w:val="center"/>
                      </w:tcPr>
                      <w:p>
                        <w:pPr>
                          <w:pStyle w:val="Normal"/>
                          <w:bidi w:val="0"/>
                          <w:ind w:hanging="0" w:left="0" w:right="0"/>
                          <w:jc w:val="center"/>
                          <w:rPr/>
                        </w:pPr>
                        <w:r>
                          <w:rPr>
                            <w:rStyle w:val="Strong"/>
                            <w:lang w:val="en-GB" w:eastAsia="en-GB" w:bidi="ar-SA"/>
                          </w:rPr>
                          <w:t>Evidence base</w:t>
                        </w:r>
                      </w:p>
                    </w:tc>
                    <w:tc>
                      <w:tcPr>
                        <w:tcW w:w="3602" w:type="dxa"/>
                        <w:tcBorders/>
                        <w:tcMar>
                          <w:top w:w="15" w:type="dxa"/>
                          <w:left w:w="15" w:type="dxa"/>
                          <w:bottom w:w="15" w:type="dxa"/>
                          <w:right w:w="15" w:type="dxa"/>
                        </w:tcMar>
                        <w:vAlign w:val="center"/>
                      </w:tcPr>
                      <w:p>
                        <w:pPr>
                          <w:pStyle w:val="Normal"/>
                          <w:bidi w:val="0"/>
                          <w:ind w:hanging="0" w:left="0" w:right="0"/>
                          <w:rPr/>
                        </w:pPr>
                        <w:r>
                          <w:rPr/>
                          <w:t>Early-stage evidence; constraints acknowledged.</w:t>
                        </w:r>
                      </w:p>
                    </w:tc>
                    <w:tc>
                      <w:tcPr>
                        <w:tcW w:w="2804" w:type="dxa"/>
                        <w:tcBorders/>
                        <w:tcMar>
                          <w:top w:w="15" w:type="dxa"/>
                          <w:left w:w="15" w:type="dxa"/>
                          <w:bottom w:w="15" w:type="dxa"/>
                          <w:right w:w="15" w:type="dxa"/>
                        </w:tcMar>
                        <w:vAlign w:val="center"/>
                      </w:tcPr>
                      <w:p>
                        <w:pPr>
                          <w:pStyle w:val="Normal"/>
                          <w:bidi w:val="0"/>
                          <w:ind w:hanging="0" w:left="0" w:right="0"/>
                          <w:rPr/>
                        </w:pPr>
                        <w:r>
                          <w:rPr/>
                          <w:t xml:space="preserve">Evidence base does </w:t>
                        </w:r>
                        <w:r>
                          <w:rPr>
                            <w:rStyle w:val="Strong"/>
                            <w:lang w:val="en-GB" w:eastAsia="en-GB" w:bidi="ar-SA"/>
                          </w:rPr>
                          <w:t>not</w:t>
                        </w:r>
                        <w:r>
                          <w:rPr/>
                          <w:t xml:space="preserve"> justify the major shift in scale or strategy.</w:t>
                        </w:r>
                      </w:p>
                    </w:tc>
                  </w:tr>
                </w:tbl>
                <w:p>
                  <w:pPr>
                    <w:pStyle w:val="Normal"/>
                    <w:tabs>
                      <w:tab w:val="clear" w:pos="720"/>
                    </w:tabs>
                    <w:bidi w:val="0"/>
                    <w:ind w:hanging="0" w:left="0" w:right="0"/>
                    <w:rPr>
                      <w:rFonts w:ascii="Times New Roman" w:hAnsi="Times New Roman"/>
                    </w:rPr>
                  </w:pPr>
                  <w:r>
                    <w:rPr/>
                  </w:r>
                </w:p>
              </w:tc>
            </w:tr>
          </w:tbl>
          <w:p>
            <w:pPr>
              <w:pStyle w:val="Normal"/>
              <w:jc w:val="left"/>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Web"/>
              <w:bidi w:val="0"/>
              <w:spacing w:before="100" w:after="100"/>
              <w:rPr>
                <w:rFonts w:ascii="Times New Roman" w:hAnsi="Times New Roman"/>
              </w:rPr>
            </w:pPr>
            <w:r>
              <w:rPr/>
              <w:t>The plan must be modified to:</w:t>
            </w:r>
          </w:p>
          <w:p>
            <w:pPr>
              <w:pStyle w:val="NormalWeb"/>
              <w:numPr>
                <w:ilvl w:val="0"/>
                <w:numId w:val="17"/>
              </w:numPr>
              <w:tabs>
                <w:tab w:val="left" w:pos="720" w:leader="none"/>
              </w:tabs>
              <w:bidi w:val="0"/>
              <w:spacing w:before="100" w:after="100"/>
              <w:ind w:hanging="360" w:left="720" w:right="0"/>
              <w:rPr>
                <w:rFonts w:ascii="Times New Roman" w:hAnsi="Times New Roman"/>
              </w:rPr>
            </w:pPr>
            <w:r>
              <w:rPr/>
              <w:t>Publish full evidence justifying the change from Reg 18 to Reg 19.</w:t>
            </w:r>
          </w:p>
          <w:p>
            <w:pPr>
              <w:pStyle w:val="NormalWeb"/>
              <w:numPr>
                <w:ilvl w:val="0"/>
                <w:numId w:val="17"/>
              </w:numPr>
              <w:tabs>
                <w:tab w:val="left" w:pos="720" w:leader="none"/>
              </w:tabs>
              <w:bidi w:val="0"/>
              <w:spacing w:before="100" w:after="100"/>
              <w:ind w:hanging="360" w:left="720" w:right="0"/>
              <w:rPr>
                <w:rFonts w:ascii="Times New Roman" w:hAnsi="Times New Roman"/>
              </w:rPr>
            </w:pPr>
            <w:r>
              <w:rPr/>
              <w:t>Reassess reasonable alternatives.</w:t>
            </w:r>
          </w:p>
          <w:p>
            <w:pPr>
              <w:pStyle w:val="NormalWeb"/>
              <w:numPr>
                <w:ilvl w:val="0"/>
                <w:numId w:val="17"/>
              </w:numPr>
              <w:tabs>
                <w:tab w:val="left" w:pos="720" w:leader="none"/>
              </w:tabs>
              <w:bidi w:val="0"/>
              <w:spacing w:before="100" w:after="100"/>
              <w:ind w:hanging="360" w:left="720" w:right="0"/>
              <w:rPr>
                <w:rFonts w:ascii="Times New Roman" w:hAnsi="Times New Roman"/>
              </w:rPr>
            </w:pPr>
            <w:r>
              <w:rPr/>
              <w:t>Provide full transport modelling.</w:t>
            </w:r>
          </w:p>
          <w:p>
            <w:pPr>
              <w:pStyle w:val="NormalWeb"/>
              <w:numPr>
                <w:ilvl w:val="0"/>
                <w:numId w:val="17"/>
              </w:numPr>
              <w:tabs>
                <w:tab w:val="left" w:pos="720" w:leader="none"/>
              </w:tabs>
              <w:bidi w:val="0"/>
              <w:spacing w:before="100" w:after="100"/>
              <w:ind w:hanging="360" w:left="720" w:right="0"/>
              <w:rPr>
                <w:rFonts w:ascii="Times New Roman" w:hAnsi="Times New Roman"/>
              </w:rPr>
            </w:pPr>
            <w:r>
              <w:rPr/>
              <w:t>Provide a funded infrastructure delivery plan.</w:t>
            </w:r>
          </w:p>
          <w:p>
            <w:pPr>
              <w:pStyle w:val="NormalWeb"/>
              <w:numPr>
                <w:ilvl w:val="0"/>
                <w:numId w:val="17"/>
              </w:numPr>
              <w:tabs>
                <w:tab w:val="left" w:pos="720" w:leader="none"/>
              </w:tabs>
              <w:bidi w:val="0"/>
              <w:spacing w:before="100" w:after="100"/>
              <w:ind w:hanging="360" w:left="720" w:right="0"/>
              <w:rPr>
                <w:rFonts w:ascii="Times New Roman" w:hAnsi="Times New Roman"/>
              </w:rPr>
            </w:pPr>
            <w:r>
              <w:rPr/>
              <w:t>Reinstate Garden Village identity or reduce the scale.</w:t>
            </w:r>
          </w:p>
          <w:p>
            <w:pPr>
              <w:pStyle w:val="NormalWeb"/>
              <w:numPr>
                <w:ilvl w:val="0"/>
                <w:numId w:val="17"/>
              </w:numPr>
              <w:tabs>
                <w:tab w:val="left" w:pos="720" w:leader="none"/>
              </w:tabs>
              <w:bidi w:val="0"/>
              <w:spacing w:before="100" w:after="100"/>
              <w:ind w:hanging="360" w:left="720" w:right="0"/>
              <w:rPr>
                <w:rFonts w:ascii="Times New Roman" w:hAnsi="Times New Roman"/>
              </w:rPr>
            </w:pPr>
            <w:r>
              <w:rPr/>
              <w:t>Resolve masterplan conflicts.</w:t>
            </w:r>
          </w:p>
          <w:p>
            <w:pPr>
              <w:pStyle w:val="NormalWeb"/>
              <w:numPr>
                <w:ilvl w:val="0"/>
                <w:numId w:val="17"/>
              </w:numPr>
              <w:tabs>
                <w:tab w:val="left" w:pos="720" w:leader="none"/>
              </w:tabs>
              <w:bidi w:val="0"/>
              <w:spacing w:before="100" w:after="100"/>
              <w:ind w:hanging="360" w:left="720" w:right="0"/>
              <w:rPr>
                <w:rFonts w:ascii="Times New Roman" w:hAnsi="Times New Roman"/>
              </w:rPr>
            </w:pPr>
            <w:r>
              <w:rPr/>
              <w:t>Reassess deliverability.</w:t>
            </w:r>
          </w:p>
          <w:p>
            <w:pPr>
              <w:pStyle w:val="NormalWeb"/>
              <w:bidi w:val="0"/>
              <w:spacing w:before="100" w:after="100"/>
              <w:rPr>
                <w:rFonts w:ascii="Times New Roman" w:hAnsi="Times New Roman"/>
              </w:rPr>
            </w:pPr>
            <w:r>
              <w:rPr/>
              <w:t xml:space="preserve">Without these modifications, Proposal LMA remains </w:t>
            </w:r>
            <w:r>
              <w:rPr>
                <w:rStyle w:val="Strong"/>
                <w:lang w:val="en-GB" w:eastAsia="en-GB" w:bidi="ar-SA"/>
              </w:rPr>
              <w:t>unsound</w:t>
            </w:r>
            <w:r>
              <w:rPr/>
              <w: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LibreOffice/26.2.5.2$Windows_X86_64 LibreOffice_project/cd7284b4cbbfeb507e630c1aac019f4157393acb</Application>
  <AppVersion>15.0000</AppVersion>
  <Pages>10</Pages>
  <Words>2015</Words>
  <Characters>11942</Characters>
  <CharactersWithSpaces>13651</CharactersWithSpaces>
  <Paragraphs>269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2026-08-28T14:37:55Z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