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489"/>
        <w:gridCol w:w="1521"/>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489"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DS. 2 – 4</w:t>
            </w:r>
          </w:p>
          <w:p>
            <w:pPr>
              <w:pStyle w:val="Normal"/>
              <w:rPr>
                <w:rFonts w:ascii="Arial" w:hAnsi="Arial" w:cs="Arial"/>
              </w:rPr>
            </w:pPr>
            <w:r>
              <w:rPr>
                <w:rFonts w:cs="Arial" w:ascii="Arial" w:hAnsi="Arial"/>
              </w:rPr>
              <w:t>ID policies</w:t>
            </w:r>
          </w:p>
          <w:p>
            <w:pPr>
              <w:pStyle w:val="Normal"/>
              <w:rPr>
                <w:rFonts w:ascii="Arial" w:hAnsi="Arial" w:cs="Arial"/>
              </w:rPr>
            </w:pPr>
            <w:r>
              <w:rPr>
                <w:rFonts w:cs="Arial" w:ascii="Arial" w:hAnsi="Arial"/>
              </w:rPr>
              <w:t>BN policies</w:t>
            </w:r>
          </w:p>
        </w:tc>
        <w:tc>
          <w:tcPr>
            <w:tcW w:w="1521"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489"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521"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489"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521"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489" w:type="dxa"/>
            <w:tcBorders>
              <w:top w:val="single" w:sz="8" w:space="0" w:color="000000"/>
            </w:tcBorders>
          </w:tcPr>
          <w:p>
            <w:pPr>
              <w:pStyle w:val="Normal"/>
              <w:rPr>
                <w:rFonts w:ascii="Arial" w:hAnsi="Arial" w:cs="Arial"/>
              </w:rPr>
            </w:pPr>
            <w:r>
              <w:rPr>
                <w:rFonts w:cs="Arial" w:ascii="Arial" w:hAnsi="Arial"/>
              </w:rPr>
            </w:r>
          </w:p>
        </w:tc>
        <w:tc>
          <w:tcPr>
            <w:tcW w:w="1521"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ind w:hanging="0" w:left="0"/>
              <w:rPr/>
            </w:pPr>
            <w:r>
              <w:rPr>
                <w:rStyle w:val="Strong"/>
                <w:rFonts w:cs="Arial" w:ascii="Arial" w:hAnsi="Arial"/>
                <w:b w:val="false"/>
                <w:bCs w:val="false"/>
                <w:lang w:val="en-GB" w:eastAsia="en-GB" w:bidi="ar-SA"/>
              </w:rPr>
              <w:t>Regulation 19 Representation – Inconsistencies Between Reg 18 Preferred Options and Reg 19 (Proposal LMA)</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§33, §35)</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on the grounds that the Regulation 19 version is </w:t>
            </w:r>
            <w:r>
              <w:rPr>
                <w:rStyle w:val="Strong"/>
                <w:lang w:val="en-GB" w:eastAsia="en-GB" w:bidi="ar-SA"/>
              </w:rPr>
              <w:t>materially inconsistent</w:t>
            </w:r>
            <w:r>
              <w:rPr/>
              <w:t xml:space="preserve"> with the earlier </w:t>
            </w:r>
            <w:r>
              <w:rPr>
                <w:rStyle w:val="Strong"/>
                <w:lang w:val="en-GB" w:eastAsia="en-GB" w:bidi="ar-SA"/>
              </w:rPr>
              <w:t>Regulation 18 Preferred Options consultation</w:t>
            </w:r>
            <w:r>
              <w:rPr/>
              <w:t xml:space="preserve">, and the plan </w:t>
            </w:r>
            <w:r>
              <w:rPr>
                <w:rStyle w:val="Strong"/>
                <w:lang w:val="en-GB" w:eastAsia="en-GB" w:bidi="ar-SA"/>
              </w:rPr>
              <w:t>fails to justify these changes</w:t>
            </w:r>
            <w:r>
              <w:rPr/>
              <w:t xml:space="preserve"> as required by </w:t>
            </w:r>
            <w:r>
              <w:rPr>
                <w:rStyle w:val="Strong"/>
                <w:lang w:val="en-GB" w:eastAsia="en-GB" w:bidi="ar-SA"/>
              </w:rPr>
              <w:t>NPPF §31 and §35</w:t>
            </w:r>
            <w:r>
              <w:rPr/>
              <w:t>.</w:t>
            </w:r>
          </w:p>
          <w:p>
            <w:pPr>
              <w:pStyle w:val="NormalWeb"/>
              <w:bidi w:val="0"/>
              <w:spacing w:before="100" w:after="100"/>
              <w:rPr>
                <w:rFonts w:ascii="Times New Roman" w:hAnsi="Times New Roman"/>
              </w:rPr>
            </w:pPr>
            <w:r>
              <w:rPr/>
              <w:t xml:space="preserve">The Preferred Options presented a </w:t>
            </w:r>
            <w:r>
              <w:rPr>
                <w:rStyle w:val="Strong"/>
                <w:lang w:val="en-GB" w:eastAsia="en-GB" w:bidi="ar-SA"/>
              </w:rPr>
              <w:t>different scale, role, and spatial strategy</w:t>
            </w:r>
            <w:r>
              <w:rPr/>
              <w:t xml:space="preserve"> for LMA. The Regulation 19 version introduces a </w:t>
            </w:r>
            <w:r>
              <w:rPr>
                <w:rStyle w:val="Strong"/>
                <w:lang w:val="en-GB" w:eastAsia="en-GB" w:bidi="ar-SA"/>
              </w:rPr>
              <w:t>town</w:t>
              <w:noBreakHyphen/>
              <w:t>scale new settlement</w:t>
            </w:r>
            <w:r>
              <w:rPr/>
              <w:t>, significantly larger and more complex than the concept consulted on at Reg 18.</w:t>
            </w:r>
          </w:p>
          <w:p>
            <w:pPr>
              <w:pStyle w:val="NormalWeb"/>
              <w:bidi w:val="0"/>
              <w:spacing w:before="100" w:after="100"/>
              <w:rPr>
                <w:rFonts w:ascii="Times New Roman" w:hAnsi="Times New Roman"/>
              </w:rPr>
            </w:pPr>
            <w:r>
              <w:rPr/>
              <w:t xml:space="preserve">The plan does </w:t>
            </w:r>
            <w:r>
              <w:rPr>
                <w:rStyle w:val="Strong"/>
                <w:lang w:val="en-GB" w:eastAsia="en-GB" w:bidi="ar-SA"/>
              </w:rPr>
              <w:t>not</w:t>
            </w:r>
            <w:r>
              <w:rPr/>
              <w:t xml:space="preserve"> provide proportionate evidence explaining:</w:t>
            </w:r>
          </w:p>
          <w:p>
            <w:pPr>
              <w:pStyle w:val="NormalWeb"/>
              <w:numPr>
                <w:ilvl w:val="0"/>
                <w:numId w:val="12"/>
              </w:numPr>
              <w:tabs>
                <w:tab w:val="left" w:pos="720" w:leader="none"/>
              </w:tabs>
              <w:bidi w:val="0"/>
              <w:spacing w:before="100" w:after="100"/>
              <w:rPr/>
            </w:pPr>
            <w:r>
              <w:rPr/>
              <w:t>why the strategy changed</w:t>
            </w:r>
          </w:p>
          <w:p>
            <w:pPr>
              <w:pStyle w:val="NormalWeb"/>
              <w:numPr>
                <w:ilvl w:val="0"/>
                <w:numId w:val="12"/>
              </w:numPr>
              <w:tabs>
                <w:tab w:val="left" w:pos="720" w:leader="none"/>
              </w:tabs>
              <w:bidi w:val="0"/>
              <w:spacing w:before="100" w:after="100"/>
              <w:rPr/>
            </w:pPr>
            <w:r>
              <w:rPr/>
              <w:t>why alternatives were rejected</w:t>
            </w:r>
          </w:p>
          <w:p>
            <w:pPr>
              <w:pStyle w:val="NormalWeb"/>
              <w:numPr>
                <w:ilvl w:val="0"/>
                <w:numId w:val="12"/>
              </w:numPr>
              <w:tabs>
                <w:tab w:val="left" w:pos="720" w:leader="none"/>
              </w:tabs>
              <w:bidi w:val="0"/>
              <w:spacing w:before="100" w:after="100"/>
              <w:rPr/>
            </w:pPr>
            <w:r>
              <w:rPr/>
              <w:t>why constraints identified at Reg 18 are now downplayed</w:t>
            </w:r>
          </w:p>
          <w:p>
            <w:pPr>
              <w:pStyle w:val="NormalWeb"/>
              <w:numPr>
                <w:ilvl w:val="0"/>
                <w:numId w:val="12"/>
              </w:numPr>
              <w:tabs>
                <w:tab w:val="left" w:pos="720" w:leader="none"/>
              </w:tabs>
              <w:bidi w:val="0"/>
              <w:spacing w:before="100" w:after="100"/>
              <w:rPr/>
            </w:pPr>
            <w:r>
              <w:rPr/>
              <w:t>how the new scale aligns with infrastructure capacity</w:t>
            </w:r>
          </w:p>
          <w:p>
            <w:pPr>
              <w:pStyle w:val="NormalWeb"/>
              <w:numPr>
                <w:ilvl w:val="0"/>
                <w:numId w:val="12"/>
              </w:numPr>
              <w:tabs>
                <w:tab w:val="left" w:pos="720" w:leader="none"/>
              </w:tabs>
              <w:bidi w:val="0"/>
              <w:spacing w:before="100" w:after="100"/>
              <w:rPr>
                <w:rFonts w:ascii="Times New Roman" w:hAnsi="Times New Roman"/>
              </w:rPr>
            </w:pPr>
            <w:r>
              <w:rPr/>
              <w:t>how the new settlement form remains deliverable</w:t>
            </w:r>
          </w:p>
          <w:p>
            <w:pPr>
              <w:pStyle w:val="NormalWeb"/>
              <w:bidi w:val="0"/>
              <w:spacing w:before="100" w:after="100"/>
              <w:rPr>
                <w:rFonts w:ascii="Times New Roman" w:hAnsi="Times New Roman"/>
              </w:rPr>
            </w:pPr>
            <w:r>
              <w:rPr/>
              <w:t xml:space="preserve">This lack of justification renders the allocation </w:t>
            </w:r>
            <w:r>
              <w:rPr>
                <w:rStyle w:val="Strong"/>
                <w:lang w:val="en-GB" w:eastAsia="en-GB" w:bidi="ar-SA"/>
              </w:rPr>
              <w:t>unsound</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Relevant SWLP References</w:t>
            </w:r>
          </w:p>
          <w:p>
            <w:pPr>
              <w:pStyle w:val="NormalWeb"/>
              <w:numPr>
                <w:ilvl w:val="0"/>
                <w:numId w:val="13"/>
              </w:numPr>
              <w:tabs>
                <w:tab w:val="left" w:pos="720" w:leader="none"/>
              </w:tabs>
              <w:bidi w:val="0"/>
              <w:spacing w:before="100" w:after="100"/>
              <w:rPr/>
            </w:pPr>
            <w:r>
              <w:rPr>
                <w:rStyle w:val="Strong"/>
                <w:lang w:val="en-GB" w:eastAsia="en-GB" w:bidi="ar-SA"/>
              </w:rPr>
              <w:t>Regulation 18 Preferred Options Consultation Document</w:t>
            </w:r>
            <w:r>
              <w:rPr/>
              <w:t xml:space="preserve"> (strategic growth options)</w:t>
            </w:r>
          </w:p>
          <w:p>
            <w:pPr>
              <w:pStyle w:val="NormalWeb"/>
              <w:numPr>
                <w:ilvl w:val="0"/>
                <w:numId w:val="13"/>
              </w:numPr>
              <w:tabs>
                <w:tab w:val="left" w:pos="720" w:leader="none"/>
              </w:tabs>
              <w:bidi w:val="0"/>
              <w:spacing w:before="100" w:after="100"/>
              <w:rPr/>
            </w:pPr>
            <w:r>
              <w:rPr>
                <w:rStyle w:val="Strong"/>
                <w:lang w:val="en-GB" w:eastAsia="en-GB" w:bidi="ar-SA"/>
              </w:rPr>
              <w:t>Proposal LMA – Section 8.2</w:t>
            </w:r>
            <w:r>
              <w:rPr/>
              <w:t xml:space="preserve"> in the Reg 19 PDF </w:t>
            </w:r>
          </w:p>
          <w:p>
            <w:pPr>
              <w:pStyle w:val="NormalWeb"/>
              <w:numPr>
                <w:ilvl w:val="0"/>
                <w:numId w:val="13"/>
              </w:numPr>
              <w:tabs>
                <w:tab w:val="left" w:pos="720" w:leader="none"/>
              </w:tabs>
              <w:bidi w:val="0"/>
              <w:spacing w:before="100" w:after="100"/>
              <w:rPr/>
            </w:pPr>
            <w:r>
              <w:rPr>
                <w:rStyle w:val="Strong"/>
                <w:lang w:val="en-GB" w:eastAsia="en-GB" w:bidi="ar-SA"/>
              </w:rPr>
              <w:t>DS.2–DS.4</w:t>
            </w:r>
            <w:r>
              <w:rPr/>
              <w:t xml:space="preserve"> (spatial strategy and strategic sites)</w:t>
            </w:r>
          </w:p>
          <w:p>
            <w:pPr>
              <w:pStyle w:val="NormalWeb"/>
              <w:numPr>
                <w:ilvl w:val="0"/>
                <w:numId w:val="13"/>
              </w:numPr>
              <w:tabs>
                <w:tab w:val="left" w:pos="720" w:leader="none"/>
              </w:tabs>
              <w:bidi w:val="0"/>
              <w:spacing w:before="100" w:after="100"/>
              <w:rPr/>
            </w:pPr>
            <w:r>
              <w:rPr>
                <w:rStyle w:val="Strong"/>
                <w:lang w:val="en-GB" w:eastAsia="en-GB" w:bidi="ar-SA"/>
              </w:rPr>
              <w:t>ID policies</w:t>
            </w:r>
            <w:r>
              <w:rPr/>
              <w:t xml:space="preserve"> (infrastructure delivery)</w:t>
            </w:r>
          </w:p>
          <w:p>
            <w:pPr>
              <w:pStyle w:val="NormalWeb"/>
              <w:numPr>
                <w:ilvl w:val="0"/>
                <w:numId w:val="13"/>
              </w:numPr>
              <w:tabs>
                <w:tab w:val="left" w:pos="720" w:leader="none"/>
              </w:tabs>
              <w:bidi w:val="0"/>
              <w:spacing w:before="100" w:after="100"/>
              <w:rPr>
                <w:rFonts w:ascii="Times New Roman" w:hAnsi="Times New Roman"/>
              </w:rPr>
            </w:pPr>
            <w:r>
              <w:rPr>
                <w:rStyle w:val="Strong"/>
                <w:lang w:val="en-GB" w:eastAsia="en-GB" w:bidi="ar-SA"/>
              </w:rPr>
              <w:t>BN policies</w:t>
            </w:r>
            <w:r>
              <w:rPr/>
              <w:t xml:space="preserve"> (landscape, biodiversity, environmental net gain)</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 Not Justified (NPPF §31, §35)</w:t>
            </w:r>
          </w:p>
          <w:p>
            <w:pPr>
              <w:pStyle w:val="Heading3"/>
              <w:bidi w:val="0"/>
              <w:ind w:hanging="0" w:left="0"/>
              <w:rPr/>
            </w:pPr>
            <w:r>
              <w:rPr>
                <w:rStyle w:val="Strong"/>
                <w:rFonts w:cs="Arial" w:ascii="Arial" w:hAnsi="Arial"/>
                <w:b w:val="false"/>
                <w:bCs w:val="false"/>
                <w:lang w:val="en-GB" w:eastAsia="en-GB" w:bidi="ar-SA"/>
              </w:rPr>
              <w:t>3.1 Unexplained change in settlement scale</w:t>
            </w:r>
          </w:p>
          <w:p>
            <w:pPr>
              <w:pStyle w:val="NormalWeb"/>
              <w:bidi w:val="0"/>
              <w:spacing w:before="100" w:after="100"/>
              <w:rPr>
                <w:rFonts w:ascii="Times New Roman" w:hAnsi="Times New Roman"/>
              </w:rPr>
            </w:pPr>
            <w:r>
              <w:rPr/>
              <w:t>At Regulation 18, LMA was presented as:</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a </w:t>
            </w:r>
            <w:r>
              <w:rPr>
                <w:rStyle w:val="Strong"/>
                <w:lang w:val="en-GB" w:eastAsia="en-GB" w:bidi="ar-SA"/>
              </w:rPr>
              <w:t>Garden Village</w:t>
              <w:noBreakHyphen/>
              <w:t>scale expansion</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a </w:t>
            </w:r>
            <w:r>
              <w:rPr>
                <w:rStyle w:val="Strong"/>
                <w:lang w:val="en-GB" w:eastAsia="en-GB" w:bidi="ar-SA"/>
              </w:rPr>
              <w:t>moderate growth option</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a settlement with </w:t>
            </w:r>
            <w:r>
              <w:rPr>
                <w:rStyle w:val="Strong"/>
                <w:lang w:val="en-GB" w:eastAsia="en-GB" w:bidi="ar-SA"/>
              </w:rPr>
              <w:t>limited infrastructure requirements</w:t>
            </w:r>
          </w:p>
          <w:p>
            <w:pPr>
              <w:pStyle w:val="NormalWeb"/>
              <w:bidi w:val="0"/>
              <w:spacing w:before="100" w:after="100"/>
              <w:rPr>
                <w:rFonts w:ascii="Times New Roman" w:hAnsi="Times New Roman"/>
              </w:rPr>
            </w:pPr>
            <w:r>
              <w:rPr/>
              <w:t>At Regulation 19, LMA is re</w:t>
              <w:noBreakHyphen/>
              <w:t>presented as:</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a </w:t>
            </w:r>
            <w:r>
              <w:rPr>
                <w:rStyle w:val="Strong"/>
                <w:lang w:val="en-GB" w:eastAsia="en-GB" w:bidi="ar-SA"/>
              </w:rPr>
              <w:t>town</w:t>
              <w:noBreakHyphen/>
              <w:t>scale new community</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requiring </w:t>
            </w:r>
            <w:r>
              <w:rPr>
                <w:rStyle w:val="Strong"/>
                <w:lang w:val="en-GB" w:eastAsia="en-GB" w:bidi="ar-SA"/>
              </w:rPr>
              <w:t>major strategic transport interventions</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requiring </w:t>
            </w:r>
            <w:r>
              <w:rPr>
                <w:rStyle w:val="Strong"/>
                <w:lang w:val="en-GB" w:eastAsia="en-GB" w:bidi="ar-SA"/>
              </w:rPr>
              <w:t>multiple schools</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requiring </w:t>
            </w:r>
            <w:r>
              <w:rPr>
                <w:rStyle w:val="Strong"/>
                <w:lang w:val="en-GB" w:eastAsia="en-GB" w:bidi="ar-SA"/>
              </w:rPr>
              <w:t>significant wastewater upgrades</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creating </w:t>
            </w:r>
            <w:r>
              <w:rPr>
                <w:rStyle w:val="Strong"/>
                <w:lang w:val="en-GB" w:eastAsia="en-GB" w:bidi="ar-SA"/>
              </w:rPr>
              <w:t>potential coalescence</w:t>
            </w:r>
            <w:r>
              <w:rPr/>
              <w:t xml:space="preserve"> with Long Marston village and Meon Vale</w:t>
            </w:r>
          </w:p>
          <w:p>
            <w:pPr>
              <w:pStyle w:val="NormalWeb"/>
              <w:bidi w:val="0"/>
              <w:spacing w:before="100" w:after="100"/>
              <w:rPr>
                <w:rFonts w:ascii="Times New Roman" w:hAnsi="Times New Roman"/>
              </w:rPr>
            </w:pPr>
            <w:r>
              <w:rPr/>
              <w:t xml:space="preserve">This is a </w:t>
            </w:r>
            <w:r>
              <w:rPr>
                <w:rStyle w:val="Strong"/>
                <w:lang w:val="en-GB" w:eastAsia="en-GB" w:bidi="ar-SA"/>
              </w:rPr>
              <w:t>fundamental change</w:t>
            </w:r>
            <w:r>
              <w:rPr/>
              <w:t xml:space="preserve"> in the nature of the site.</w:t>
            </w:r>
          </w:p>
          <w:p>
            <w:pPr>
              <w:pStyle w:val="NormalWeb"/>
              <w:bidi w:val="0"/>
              <w:spacing w:before="100" w:after="100"/>
              <w:rPr>
                <w:rFonts w:ascii="Times New Roman" w:hAnsi="Times New Roman"/>
              </w:rPr>
            </w:pPr>
            <w:r>
              <w:rPr/>
              <w:t xml:space="preserve">The plan does </w:t>
            </w:r>
            <w:r>
              <w:rPr>
                <w:rStyle w:val="Strong"/>
                <w:lang w:val="en-GB" w:eastAsia="en-GB" w:bidi="ar-SA"/>
              </w:rPr>
              <w:t>not</w:t>
            </w:r>
            <w:r>
              <w:rPr/>
              <w:t xml:space="preserve"> explain:</w:t>
            </w:r>
          </w:p>
          <w:p>
            <w:pPr>
              <w:pStyle w:val="NormalWeb"/>
              <w:numPr>
                <w:ilvl w:val="0"/>
                <w:numId w:val="5"/>
              </w:numPr>
              <w:tabs>
                <w:tab w:val="left" w:pos="720" w:leader="none"/>
              </w:tabs>
              <w:bidi w:val="0"/>
              <w:spacing w:before="100" w:after="100"/>
              <w:ind w:hanging="360" w:left="720" w:right="0"/>
              <w:rPr>
                <w:rFonts w:ascii="Times New Roman" w:hAnsi="Times New Roman"/>
              </w:rPr>
            </w:pPr>
            <w:r>
              <w:rPr/>
              <w:t>why the Garden Village concept was abandoned</w:t>
            </w:r>
          </w:p>
          <w:p>
            <w:pPr>
              <w:pStyle w:val="NormalWeb"/>
              <w:numPr>
                <w:ilvl w:val="0"/>
                <w:numId w:val="5"/>
              </w:numPr>
              <w:tabs>
                <w:tab w:val="left" w:pos="720" w:leader="none"/>
              </w:tabs>
              <w:bidi w:val="0"/>
              <w:spacing w:before="100" w:after="100"/>
              <w:ind w:hanging="360" w:left="720" w:right="0"/>
              <w:rPr>
                <w:rFonts w:ascii="Times New Roman" w:hAnsi="Times New Roman"/>
              </w:rPr>
            </w:pPr>
            <w:r>
              <w:rPr/>
              <w:t>why a town</w:t>
              <w:noBreakHyphen/>
              <w:t>scale settlement is now preferred</w:t>
            </w:r>
          </w:p>
          <w:p>
            <w:pPr>
              <w:pStyle w:val="NormalWeb"/>
              <w:numPr>
                <w:ilvl w:val="0"/>
                <w:numId w:val="5"/>
              </w:numPr>
              <w:tabs>
                <w:tab w:val="left" w:pos="720" w:leader="none"/>
              </w:tabs>
              <w:bidi w:val="0"/>
              <w:spacing w:before="100" w:after="100"/>
              <w:ind w:hanging="360" w:left="720" w:right="0"/>
              <w:rPr>
                <w:rFonts w:ascii="Times New Roman" w:hAnsi="Times New Roman"/>
              </w:rPr>
            </w:pPr>
            <w:r>
              <w:rPr/>
              <w:t>why this change is justified in planning terms</w:t>
            </w:r>
          </w:p>
          <w:p>
            <w:pPr>
              <w:pStyle w:val="NormalWeb"/>
              <w:numPr>
                <w:ilvl w:val="0"/>
                <w:numId w:val="5"/>
              </w:numPr>
              <w:tabs>
                <w:tab w:val="left" w:pos="720" w:leader="none"/>
              </w:tabs>
              <w:bidi w:val="0"/>
              <w:spacing w:before="100" w:after="100"/>
              <w:ind w:hanging="360" w:left="720" w:right="0"/>
              <w:rPr>
                <w:rFonts w:ascii="Times New Roman" w:hAnsi="Times New Roman"/>
              </w:rPr>
            </w:pPr>
            <w:r>
              <w:rPr/>
              <w:t>why constraints identified at Reg 18 are now considered manageable</w:t>
            </w:r>
          </w:p>
          <w:p>
            <w:pPr>
              <w:pStyle w:val="NormalWeb"/>
              <w:bidi w:val="0"/>
              <w:spacing w:before="100" w:after="100"/>
              <w:rPr>
                <w:rFonts w:ascii="Times New Roman" w:hAnsi="Times New Roman"/>
              </w:rPr>
            </w:pPr>
            <w:r>
              <w:rPr/>
              <w:t xml:space="preserve">This is a clear breach of </w:t>
            </w:r>
            <w:r>
              <w:rPr>
                <w:rStyle w:val="Strong"/>
                <w:lang w:val="en-GB" w:eastAsia="en-GB" w:bidi="ar-SA"/>
              </w:rPr>
              <w:t>NPPF §31</w:t>
            </w:r>
            <w:r>
              <w:rPr/>
              <w:t>, which requires proportionate evidence to justify the strategy.</w:t>
            </w:r>
          </w:p>
          <w:p>
            <w:pPr>
              <w:pStyle w:val="Heading3"/>
              <w:bidi w:val="0"/>
              <w:ind w:hanging="0" w:left="0"/>
              <w:rPr/>
            </w:pPr>
            <w:r>
              <w:rPr>
                <w:rStyle w:val="Strong"/>
                <w:rFonts w:cs="Arial" w:ascii="Arial" w:hAnsi="Arial"/>
                <w:b w:val="false"/>
                <w:bCs w:val="false"/>
                <w:lang w:val="en-GB" w:eastAsia="en-GB" w:bidi="ar-SA"/>
              </w:rPr>
              <w:t>3.2 Failure to explain rejection of reasonable alternatives</w:t>
            </w:r>
          </w:p>
          <w:p>
            <w:pPr>
              <w:pStyle w:val="NormalWeb"/>
              <w:bidi w:val="0"/>
              <w:spacing w:before="100" w:after="100"/>
              <w:rPr>
                <w:rFonts w:ascii="Times New Roman" w:hAnsi="Times New Roman"/>
              </w:rPr>
            </w:pPr>
            <w:r>
              <w:rPr/>
              <w:t>At Regulation 18, the council consulted on multiple strategic options, including:</w:t>
            </w:r>
          </w:p>
          <w:p>
            <w:pPr>
              <w:pStyle w:val="NormalWeb"/>
              <w:numPr>
                <w:ilvl w:val="0"/>
                <w:numId w:val="6"/>
              </w:numPr>
              <w:tabs>
                <w:tab w:val="left" w:pos="720" w:leader="none"/>
              </w:tabs>
              <w:bidi w:val="0"/>
              <w:spacing w:before="100" w:after="100"/>
              <w:ind w:hanging="360" w:left="720" w:right="0"/>
              <w:rPr>
                <w:rFonts w:ascii="Times New Roman" w:hAnsi="Times New Roman"/>
              </w:rPr>
            </w:pPr>
            <w:r>
              <w:rPr/>
              <w:t>Hatton</w:t>
            </w:r>
          </w:p>
          <w:p>
            <w:pPr>
              <w:pStyle w:val="NormalWeb"/>
              <w:numPr>
                <w:ilvl w:val="0"/>
                <w:numId w:val="6"/>
              </w:numPr>
              <w:tabs>
                <w:tab w:val="left" w:pos="720" w:leader="none"/>
              </w:tabs>
              <w:bidi w:val="0"/>
              <w:spacing w:before="100" w:after="100"/>
              <w:ind w:hanging="360" w:left="720" w:right="0"/>
              <w:rPr>
                <w:rFonts w:ascii="Times New Roman" w:hAnsi="Times New Roman"/>
              </w:rPr>
            </w:pPr>
            <w:r>
              <w:rPr/>
              <w:t>Gaydon/Lighthorne</w:t>
            </w:r>
          </w:p>
          <w:p>
            <w:pPr>
              <w:pStyle w:val="NormalWeb"/>
              <w:numPr>
                <w:ilvl w:val="0"/>
                <w:numId w:val="6"/>
              </w:numPr>
              <w:tabs>
                <w:tab w:val="left" w:pos="720" w:leader="none"/>
              </w:tabs>
              <w:bidi w:val="0"/>
              <w:spacing w:before="100" w:after="100"/>
              <w:ind w:hanging="360" w:left="720" w:right="0"/>
              <w:rPr>
                <w:rFonts w:ascii="Times New Roman" w:hAnsi="Times New Roman"/>
              </w:rPr>
            </w:pPr>
            <w:r>
              <w:rPr/>
              <w:t>Urban extensions</w:t>
            </w:r>
          </w:p>
          <w:p>
            <w:pPr>
              <w:pStyle w:val="NormalWeb"/>
              <w:numPr>
                <w:ilvl w:val="0"/>
                <w:numId w:val="6"/>
              </w:numPr>
              <w:tabs>
                <w:tab w:val="left" w:pos="720" w:leader="none"/>
              </w:tabs>
              <w:bidi w:val="0"/>
              <w:spacing w:before="100" w:after="100"/>
              <w:ind w:hanging="360" w:left="720" w:right="0"/>
              <w:rPr>
                <w:rFonts w:ascii="Times New Roman" w:hAnsi="Times New Roman"/>
              </w:rPr>
            </w:pPr>
            <w:r>
              <w:rPr/>
              <w:t>Other dispersed growth options</w:t>
            </w:r>
          </w:p>
          <w:p>
            <w:pPr>
              <w:pStyle w:val="NormalWeb"/>
              <w:bidi w:val="0"/>
              <w:spacing w:before="100" w:after="100"/>
              <w:rPr>
                <w:rFonts w:ascii="Times New Roman" w:hAnsi="Times New Roman"/>
              </w:rPr>
            </w:pPr>
            <w:r>
              <w:rPr/>
              <w:t xml:space="preserve">The Regulation 19 version selects LMA as a major strategic site but </w:t>
            </w:r>
            <w:r>
              <w:rPr>
                <w:rStyle w:val="Strong"/>
                <w:lang w:val="en-GB" w:eastAsia="en-GB" w:bidi="ar-SA"/>
              </w:rPr>
              <w:t>does not provide a comparative assessment</w:t>
            </w:r>
            <w:r>
              <w:rPr/>
              <w:t xml:space="preserve"> explaining:</w:t>
            </w:r>
          </w:p>
          <w:p>
            <w:pPr>
              <w:pStyle w:val="NormalWeb"/>
              <w:numPr>
                <w:ilvl w:val="0"/>
                <w:numId w:val="7"/>
              </w:numPr>
              <w:tabs>
                <w:tab w:val="left" w:pos="720" w:leader="none"/>
              </w:tabs>
              <w:bidi w:val="0"/>
              <w:spacing w:before="100" w:after="100"/>
              <w:ind w:hanging="360" w:left="720" w:right="0"/>
              <w:rPr>
                <w:rFonts w:ascii="Times New Roman" w:hAnsi="Times New Roman"/>
              </w:rPr>
            </w:pPr>
            <w:r>
              <w:rPr/>
              <w:t>why LMA’s constraints are preferable</w:t>
            </w:r>
          </w:p>
          <w:p>
            <w:pPr>
              <w:pStyle w:val="NormalWeb"/>
              <w:numPr>
                <w:ilvl w:val="0"/>
                <w:numId w:val="7"/>
              </w:numPr>
              <w:tabs>
                <w:tab w:val="left" w:pos="720" w:leader="none"/>
              </w:tabs>
              <w:bidi w:val="0"/>
              <w:spacing w:before="100" w:after="100"/>
              <w:ind w:hanging="360" w:left="720" w:right="0"/>
              <w:rPr>
                <w:rFonts w:ascii="Times New Roman" w:hAnsi="Times New Roman"/>
              </w:rPr>
            </w:pPr>
            <w:r>
              <w:rPr/>
              <w:t>why other options were rejected</w:t>
            </w:r>
          </w:p>
          <w:p>
            <w:pPr>
              <w:pStyle w:val="NormalWeb"/>
              <w:numPr>
                <w:ilvl w:val="0"/>
                <w:numId w:val="7"/>
              </w:numPr>
              <w:tabs>
                <w:tab w:val="left" w:pos="720" w:leader="none"/>
              </w:tabs>
              <w:bidi w:val="0"/>
              <w:spacing w:before="100" w:after="100"/>
              <w:ind w:hanging="360" w:left="720" w:right="0"/>
              <w:rPr>
                <w:rFonts w:ascii="Times New Roman" w:hAnsi="Times New Roman"/>
              </w:rPr>
            </w:pPr>
            <w:r>
              <w:rPr/>
              <w:t>why such a poorly situated site is the preferred option</w:t>
            </w:r>
          </w:p>
          <w:p>
            <w:pPr>
              <w:pStyle w:val="NormalWeb"/>
              <w:numPr>
                <w:ilvl w:val="0"/>
                <w:numId w:val="7"/>
              </w:numPr>
              <w:tabs>
                <w:tab w:val="left" w:pos="720" w:leader="none"/>
              </w:tabs>
              <w:bidi w:val="0"/>
              <w:spacing w:before="100" w:after="100"/>
              <w:ind w:hanging="360" w:left="720" w:right="0"/>
              <w:rPr>
                <w:rFonts w:ascii="Times New Roman" w:hAnsi="Times New Roman"/>
              </w:rPr>
            </w:pPr>
            <w:r>
              <w:rPr/>
              <w:t xml:space="preserve">how LMA performs better </w:t>
            </w:r>
            <w:r>
              <w:rPr/>
              <w:t>than other sites</w:t>
            </w:r>
            <w:r>
              <w:rPr/>
              <w:t xml:space="preserve"> in transport, landscape, or infrastructure terms</w:t>
            </w:r>
          </w:p>
          <w:p>
            <w:pPr>
              <w:pStyle w:val="NormalWeb"/>
              <w:bidi w:val="0"/>
              <w:spacing w:before="100" w:after="100"/>
              <w:rPr>
                <w:rFonts w:ascii="Times New Roman" w:hAnsi="Times New Roman"/>
              </w:rPr>
            </w:pPr>
            <w:r>
              <w:rPr/>
              <w:t xml:space="preserve">This fails </w:t>
            </w:r>
            <w:r>
              <w:rPr>
                <w:rStyle w:val="Strong"/>
                <w:lang w:val="en-GB" w:eastAsia="en-GB" w:bidi="ar-SA"/>
              </w:rPr>
              <w:t>NPPF §33 and §35</w:t>
            </w:r>
            <w:r>
              <w:rPr/>
              <w:t>, which require a justified spatial strategy and assessment of reasonable alternatives.</w:t>
            </w:r>
          </w:p>
          <w:p>
            <w:pPr>
              <w:pStyle w:val="Heading3"/>
              <w:bidi w:val="0"/>
              <w:ind w:hanging="0" w:left="0"/>
              <w:rPr/>
            </w:pPr>
            <w:r>
              <w:rPr>
                <w:rStyle w:val="Strong"/>
                <w:rFonts w:cs="Arial" w:ascii="Arial" w:hAnsi="Arial"/>
                <w:b w:val="false"/>
                <w:bCs w:val="false"/>
                <w:lang w:val="en-GB" w:eastAsia="en-GB" w:bidi="ar-SA"/>
              </w:rPr>
              <w:t>3.3 Failure to address Reg 18 consultation feedback</w:t>
            </w:r>
          </w:p>
          <w:p>
            <w:pPr>
              <w:pStyle w:val="NormalWeb"/>
              <w:bidi w:val="0"/>
              <w:spacing w:before="100" w:after="100"/>
              <w:rPr>
                <w:rFonts w:ascii="Times New Roman" w:hAnsi="Times New Roman"/>
              </w:rPr>
            </w:pPr>
            <w:r>
              <w:rPr/>
              <w:t>Significant concerns raised at Regulation 18 included:</w:t>
            </w:r>
          </w:p>
          <w:p>
            <w:pPr>
              <w:pStyle w:val="NormalWeb"/>
              <w:numPr>
                <w:ilvl w:val="0"/>
                <w:numId w:val="8"/>
              </w:numPr>
              <w:tabs>
                <w:tab w:val="left" w:pos="720" w:leader="none"/>
              </w:tabs>
              <w:bidi w:val="0"/>
              <w:spacing w:before="100" w:after="100"/>
              <w:ind w:hanging="360" w:left="720" w:right="0"/>
              <w:rPr>
                <w:rFonts w:ascii="Times New Roman" w:hAnsi="Times New Roman"/>
              </w:rPr>
            </w:pPr>
            <w:r>
              <w:rPr/>
              <w:t>transport capacity</w:t>
            </w:r>
          </w:p>
          <w:p>
            <w:pPr>
              <w:pStyle w:val="NormalWeb"/>
              <w:numPr>
                <w:ilvl w:val="0"/>
                <w:numId w:val="8"/>
              </w:numPr>
              <w:tabs>
                <w:tab w:val="left" w:pos="720" w:leader="none"/>
              </w:tabs>
              <w:bidi w:val="0"/>
              <w:spacing w:before="100" w:after="100"/>
              <w:ind w:hanging="360" w:left="720" w:right="0"/>
              <w:rPr>
                <w:rFonts w:ascii="Times New Roman" w:hAnsi="Times New Roman"/>
              </w:rPr>
            </w:pPr>
            <w:r>
              <w:rPr/>
              <w:t>coalescence risks</w:t>
            </w:r>
          </w:p>
          <w:p>
            <w:pPr>
              <w:pStyle w:val="NormalWeb"/>
              <w:numPr>
                <w:ilvl w:val="0"/>
                <w:numId w:val="8"/>
              </w:numPr>
              <w:tabs>
                <w:tab w:val="left" w:pos="720" w:leader="none"/>
              </w:tabs>
              <w:bidi w:val="0"/>
              <w:spacing w:before="100" w:after="100"/>
              <w:ind w:hanging="360" w:left="720" w:right="0"/>
              <w:rPr>
                <w:rFonts w:ascii="Times New Roman" w:hAnsi="Times New Roman"/>
              </w:rPr>
            </w:pPr>
            <w:r>
              <w:rPr/>
              <w:t>landscape sensitivity</w:t>
            </w:r>
          </w:p>
          <w:p>
            <w:pPr>
              <w:pStyle w:val="NormalWeb"/>
              <w:numPr>
                <w:ilvl w:val="0"/>
                <w:numId w:val="8"/>
              </w:numPr>
              <w:tabs>
                <w:tab w:val="left" w:pos="720" w:leader="none"/>
              </w:tabs>
              <w:bidi w:val="0"/>
              <w:spacing w:before="100" w:after="100"/>
              <w:ind w:hanging="360" w:left="720" w:right="0"/>
              <w:rPr>
                <w:rFonts w:ascii="Times New Roman" w:hAnsi="Times New Roman"/>
              </w:rPr>
            </w:pPr>
            <w:r>
              <w:rPr/>
              <w:t>infrastructure deliverability</w:t>
            </w:r>
          </w:p>
          <w:p>
            <w:pPr>
              <w:pStyle w:val="NormalWeb"/>
              <w:numPr>
                <w:ilvl w:val="0"/>
                <w:numId w:val="8"/>
              </w:numPr>
              <w:tabs>
                <w:tab w:val="left" w:pos="720" w:leader="none"/>
              </w:tabs>
              <w:bidi w:val="0"/>
              <w:spacing w:before="100" w:after="100"/>
              <w:ind w:hanging="360" w:left="720" w:right="0"/>
              <w:rPr>
                <w:rFonts w:ascii="Times New Roman" w:hAnsi="Times New Roman"/>
              </w:rPr>
            </w:pPr>
            <w:r>
              <w:rPr/>
              <w:t>Garden Village identity</w:t>
            </w:r>
          </w:p>
          <w:p>
            <w:pPr>
              <w:pStyle w:val="NormalWeb"/>
              <w:numPr>
                <w:ilvl w:val="0"/>
                <w:numId w:val="8"/>
              </w:numPr>
              <w:tabs>
                <w:tab w:val="left" w:pos="720" w:leader="none"/>
              </w:tabs>
              <w:bidi w:val="0"/>
              <w:spacing w:before="100" w:after="100"/>
              <w:ind w:hanging="360" w:left="720" w:right="0"/>
              <w:rPr>
                <w:rFonts w:ascii="Times New Roman" w:hAnsi="Times New Roman"/>
              </w:rPr>
            </w:pPr>
            <w:r>
              <w:rPr/>
              <w:t>wastewater constraints</w:t>
            </w:r>
          </w:p>
          <w:p>
            <w:pPr>
              <w:pStyle w:val="NormalWeb"/>
              <w:bidi w:val="0"/>
              <w:spacing w:before="100" w:after="100"/>
              <w:rPr>
                <w:rFonts w:ascii="Times New Roman" w:hAnsi="Times New Roman"/>
              </w:rPr>
            </w:pPr>
            <w:r>
              <w:rPr/>
              <w:t xml:space="preserve">The Regulation 19 version </w:t>
            </w:r>
            <w:r>
              <w:rPr>
                <w:rStyle w:val="Strong"/>
                <w:lang w:val="en-GB" w:eastAsia="en-GB" w:bidi="ar-SA"/>
              </w:rPr>
              <w:t>does not address</w:t>
            </w:r>
            <w:r>
              <w:rPr/>
              <w:t xml:space="preserve"> these concerns with new evidence. Instead, it </w:t>
            </w:r>
            <w:r>
              <w:rPr>
                <w:rStyle w:val="Strong"/>
                <w:lang w:val="en-GB" w:eastAsia="en-GB" w:bidi="ar-SA"/>
              </w:rPr>
              <w:t>expands</w:t>
            </w:r>
            <w:r>
              <w:rPr/>
              <w:t xml:space="preserve"> the scale of development without resolving the issues raised.</w:t>
            </w:r>
          </w:p>
          <w:p>
            <w:pPr>
              <w:pStyle w:val="NormalWeb"/>
              <w:bidi w:val="0"/>
              <w:spacing w:before="100" w:after="100"/>
              <w:rPr>
                <w:rFonts w:ascii="Times New Roman" w:hAnsi="Times New Roman"/>
              </w:rPr>
            </w:pPr>
            <w:r>
              <w:rPr/>
              <w:t>This undermines the plan’s justification and effectiveness.</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Effective (NPPF §35)</w:t>
            </w:r>
          </w:p>
          <w:p>
            <w:pPr>
              <w:pStyle w:val="Heading3"/>
              <w:bidi w:val="0"/>
              <w:ind w:hanging="0" w:left="0"/>
              <w:rPr/>
            </w:pPr>
            <w:r>
              <w:rPr>
                <w:rStyle w:val="Strong"/>
                <w:rFonts w:cs="Arial" w:ascii="Arial" w:hAnsi="Arial"/>
                <w:b w:val="false"/>
                <w:bCs w:val="false"/>
                <w:lang w:val="en-GB" w:eastAsia="en-GB" w:bidi="ar-SA"/>
              </w:rPr>
              <w:t>4.1 Infrastructure assumptions changed without evidence</w:t>
            </w:r>
          </w:p>
          <w:p>
            <w:pPr>
              <w:pStyle w:val="NormalWeb"/>
              <w:bidi w:val="0"/>
              <w:spacing w:before="100" w:after="100"/>
              <w:rPr>
                <w:rFonts w:ascii="Times New Roman" w:hAnsi="Times New Roman"/>
              </w:rPr>
            </w:pPr>
            <w:r>
              <w:rPr/>
              <w:t>At Regulation 18, LMA’s infrastructure requirements were modest.</w:t>
            </w:r>
          </w:p>
          <w:p>
            <w:pPr>
              <w:pStyle w:val="NormalWeb"/>
              <w:bidi w:val="0"/>
              <w:spacing w:before="100" w:after="100"/>
              <w:rPr>
                <w:rFonts w:ascii="Times New Roman" w:hAnsi="Times New Roman"/>
              </w:rPr>
            </w:pPr>
            <w:r>
              <w:rPr/>
              <w:t>At Regulation 19, LMA requires:</w:t>
            </w:r>
          </w:p>
          <w:p>
            <w:pPr>
              <w:pStyle w:val="NormalWeb"/>
              <w:numPr>
                <w:ilvl w:val="0"/>
                <w:numId w:val="9"/>
              </w:numPr>
              <w:tabs>
                <w:tab w:val="left" w:pos="720" w:leader="none"/>
              </w:tabs>
              <w:bidi w:val="0"/>
              <w:spacing w:before="100" w:after="100"/>
              <w:ind w:hanging="360" w:left="720" w:right="0"/>
              <w:rPr>
                <w:rFonts w:ascii="Times New Roman" w:hAnsi="Times New Roman"/>
              </w:rPr>
            </w:pPr>
            <w:r>
              <w:rPr/>
              <w:t>major junction upgrades</w:t>
            </w:r>
          </w:p>
          <w:p>
            <w:pPr>
              <w:pStyle w:val="NormalWeb"/>
              <w:numPr>
                <w:ilvl w:val="0"/>
                <w:numId w:val="9"/>
              </w:numPr>
              <w:tabs>
                <w:tab w:val="left" w:pos="720" w:leader="none"/>
              </w:tabs>
              <w:bidi w:val="0"/>
              <w:spacing w:before="100" w:after="100"/>
              <w:ind w:hanging="360" w:left="720" w:right="0"/>
              <w:rPr>
                <w:rFonts w:ascii="Times New Roman" w:hAnsi="Times New Roman"/>
              </w:rPr>
            </w:pPr>
            <w:r>
              <w:rPr/>
              <w:t>strategic transport schemes</w:t>
            </w:r>
          </w:p>
          <w:p>
            <w:pPr>
              <w:pStyle w:val="NormalWeb"/>
              <w:numPr>
                <w:ilvl w:val="0"/>
                <w:numId w:val="9"/>
              </w:numPr>
              <w:tabs>
                <w:tab w:val="left" w:pos="720" w:leader="none"/>
              </w:tabs>
              <w:bidi w:val="0"/>
              <w:spacing w:before="100" w:after="100"/>
              <w:ind w:hanging="360" w:left="720" w:right="0"/>
              <w:rPr>
                <w:rFonts w:ascii="Times New Roman" w:hAnsi="Times New Roman"/>
              </w:rPr>
            </w:pPr>
            <w:r>
              <w:rPr/>
              <w:t>new public transport corridors</w:t>
            </w:r>
          </w:p>
          <w:p>
            <w:pPr>
              <w:pStyle w:val="NormalWeb"/>
              <w:numPr>
                <w:ilvl w:val="0"/>
                <w:numId w:val="9"/>
              </w:numPr>
              <w:tabs>
                <w:tab w:val="left" w:pos="720" w:leader="none"/>
              </w:tabs>
              <w:bidi w:val="0"/>
              <w:spacing w:before="100" w:after="100"/>
              <w:ind w:hanging="360" w:left="720" w:right="0"/>
              <w:rPr>
                <w:rFonts w:ascii="Times New Roman" w:hAnsi="Times New Roman"/>
              </w:rPr>
            </w:pPr>
            <w:r>
              <w:rPr/>
              <w:t>multiple schools</w:t>
            </w:r>
          </w:p>
          <w:p>
            <w:pPr>
              <w:pStyle w:val="NormalWeb"/>
              <w:numPr>
                <w:ilvl w:val="0"/>
                <w:numId w:val="9"/>
              </w:numPr>
              <w:tabs>
                <w:tab w:val="left" w:pos="720" w:leader="none"/>
              </w:tabs>
              <w:bidi w:val="0"/>
              <w:spacing w:before="100" w:after="100"/>
              <w:ind w:hanging="360" w:left="720" w:right="0"/>
              <w:rPr>
                <w:rFonts w:ascii="Times New Roman" w:hAnsi="Times New Roman"/>
              </w:rPr>
            </w:pPr>
            <w:r>
              <w:rPr/>
              <w:t>wastewater treatment expansion</w:t>
            </w:r>
          </w:p>
          <w:p>
            <w:pPr>
              <w:pStyle w:val="NormalWeb"/>
              <w:numPr>
                <w:ilvl w:val="0"/>
                <w:numId w:val="9"/>
              </w:numPr>
              <w:tabs>
                <w:tab w:val="left" w:pos="720" w:leader="none"/>
              </w:tabs>
              <w:bidi w:val="0"/>
              <w:spacing w:before="100" w:after="100"/>
              <w:ind w:hanging="360" w:left="720" w:right="0"/>
              <w:rPr>
                <w:rFonts w:ascii="Times New Roman" w:hAnsi="Times New Roman"/>
              </w:rPr>
            </w:pPr>
            <w:r>
              <w:rPr/>
              <w:t>significant electricity supply infrastructure</w:t>
            </w:r>
          </w:p>
          <w:p>
            <w:pPr>
              <w:pStyle w:val="NormalWeb"/>
              <w:numPr>
                <w:ilvl w:val="0"/>
                <w:numId w:val="9"/>
              </w:numPr>
              <w:tabs>
                <w:tab w:val="left" w:pos="720" w:leader="none"/>
              </w:tabs>
              <w:bidi w:val="0"/>
              <w:spacing w:before="100" w:after="100"/>
              <w:ind w:hanging="360" w:left="720" w:right="0"/>
              <w:rPr>
                <w:rFonts w:ascii="Times New Roman" w:hAnsi="Times New Roman"/>
              </w:rPr>
            </w:pPr>
            <w:r>
              <w:rPr/>
              <w:t>significant potable water supply infracstructure</w:t>
            </w:r>
          </w:p>
          <w:p>
            <w:pPr>
              <w:pStyle w:val="NormalWeb"/>
              <w:numPr>
                <w:ilvl w:val="0"/>
                <w:numId w:val="9"/>
              </w:numPr>
              <w:tabs>
                <w:tab w:val="left" w:pos="720" w:leader="none"/>
              </w:tabs>
              <w:bidi w:val="0"/>
              <w:spacing w:before="100" w:after="100"/>
              <w:ind w:hanging="360" w:left="720" w:right="0"/>
              <w:rPr>
                <w:rFonts w:ascii="Times New Roman" w:hAnsi="Times New Roman"/>
              </w:rPr>
            </w:pPr>
            <w:r>
              <w:rPr/>
              <w:t>extensive green infrastructure networks</w:t>
            </w:r>
          </w:p>
          <w:p>
            <w:pPr>
              <w:pStyle w:val="NormalWeb"/>
              <w:bidi w:val="0"/>
              <w:spacing w:before="100" w:after="100"/>
              <w:rPr>
                <w:rFonts w:ascii="Times New Roman" w:hAnsi="Times New Roman"/>
              </w:rPr>
            </w:pPr>
            <w:r>
              <w:rPr/>
              <w:t xml:space="preserve">Yet the plan provides </w:t>
            </w:r>
            <w:r>
              <w:rPr>
                <w:rStyle w:val="Strong"/>
                <w:lang w:val="en-GB" w:eastAsia="en-GB" w:bidi="ar-SA"/>
              </w:rPr>
              <w:t>no funded delivery plan</w:t>
            </w:r>
            <w:r>
              <w:rPr/>
              <w:t xml:space="preserve">, </w:t>
            </w:r>
            <w:r>
              <w:rPr>
                <w:rStyle w:val="Strong"/>
                <w:lang w:val="en-GB" w:eastAsia="en-GB" w:bidi="ar-SA"/>
              </w:rPr>
              <w:t>no phasing triggers</w:t>
            </w:r>
            <w:r>
              <w:rPr/>
              <w:t xml:space="preserve">, and </w:t>
            </w:r>
            <w:r>
              <w:rPr>
                <w:rStyle w:val="Strong"/>
                <w:lang w:val="en-GB" w:eastAsia="en-GB" w:bidi="ar-SA"/>
              </w:rPr>
              <w:t>no evidence</w:t>
            </w:r>
            <w:r>
              <w:rPr/>
              <w:t xml:space="preserve"> that these interventions are achievable.</w:t>
            </w:r>
          </w:p>
          <w:p>
            <w:pPr>
              <w:pStyle w:val="NormalWeb"/>
              <w:bidi w:val="0"/>
              <w:spacing w:before="100" w:after="100"/>
              <w:rPr>
                <w:rFonts w:ascii="Times New Roman" w:hAnsi="Times New Roman"/>
              </w:rPr>
            </w:pPr>
            <w:r>
              <w:rPr/>
              <w:t xml:space="preserve">This makes the allocation </w:t>
            </w:r>
            <w:r>
              <w:rPr>
                <w:rStyle w:val="Strong"/>
                <w:lang w:val="en-GB" w:eastAsia="en-GB" w:bidi="ar-SA"/>
              </w:rPr>
              <w:t>not effective</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Consistent with National Policy (NPPF §31, §33, §35)</w:t>
            </w:r>
          </w:p>
          <w:p>
            <w:pPr>
              <w:pStyle w:val="NormalWeb"/>
              <w:bidi w:val="0"/>
              <w:spacing w:before="100" w:after="100"/>
              <w:rPr>
                <w:rFonts w:ascii="Times New Roman" w:hAnsi="Times New Roman"/>
              </w:rPr>
            </w:pPr>
            <w:r>
              <w:rPr/>
              <w:t>The unexplained shift from a Garden Village</w:t>
              <w:noBreakHyphen/>
              <w:t>scale concept to a town</w:t>
              <w:noBreakHyphen/>
              <w:t>scale settlement conflicts with:</w:t>
            </w:r>
          </w:p>
          <w:p>
            <w:pPr>
              <w:pStyle w:val="NormalWeb"/>
              <w:numPr>
                <w:ilvl w:val="0"/>
                <w:numId w:val="10"/>
              </w:numPr>
              <w:tabs>
                <w:tab w:val="left" w:pos="720" w:leader="none"/>
              </w:tabs>
              <w:bidi w:val="0"/>
              <w:spacing w:before="100" w:after="100"/>
              <w:ind w:hanging="360" w:left="720" w:right="0"/>
              <w:rPr>
                <w:rFonts w:ascii="Times New Roman" w:hAnsi="Times New Roman"/>
              </w:rPr>
            </w:pPr>
            <w:r>
              <w:rPr>
                <w:rStyle w:val="Strong"/>
                <w:lang w:val="en-GB" w:eastAsia="en-GB" w:bidi="ar-SA"/>
              </w:rPr>
              <w:t>NPPF §31</w:t>
            </w:r>
            <w:r>
              <w:rPr/>
              <w:t xml:space="preserve"> (proportionate evidence)</w:t>
            </w:r>
          </w:p>
          <w:p>
            <w:pPr>
              <w:pStyle w:val="NormalWeb"/>
              <w:numPr>
                <w:ilvl w:val="0"/>
                <w:numId w:val="10"/>
              </w:numPr>
              <w:tabs>
                <w:tab w:val="left" w:pos="720" w:leader="none"/>
              </w:tabs>
              <w:bidi w:val="0"/>
              <w:spacing w:before="100" w:after="100"/>
              <w:ind w:hanging="360" w:left="720" w:right="0"/>
              <w:rPr>
                <w:rFonts w:ascii="Times New Roman" w:hAnsi="Times New Roman"/>
              </w:rPr>
            </w:pPr>
            <w:r>
              <w:rPr>
                <w:rStyle w:val="Strong"/>
                <w:lang w:val="en-GB" w:eastAsia="en-GB" w:bidi="ar-SA"/>
              </w:rPr>
              <w:t>NPPF §33</w:t>
            </w:r>
            <w:r>
              <w:rPr/>
              <w:t xml:space="preserve"> (justified spatial strategy)</w:t>
            </w:r>
          </w:p>
          <w:p>
            <w:pPr>
              <w:pStyle w:val="NormalWeb"/>
              <w:numPr>
                <w:ilvl w:val="0"/>
                <w:numId w:val="10"/>
              </w:numPr>
              <w:tabs>
                <w:tab w:val="left" w:pos="720" w:leader="none"/>
              </w:tabs>
              <w:bidi w:val="0"/>
              <w:spacing w:before="100" w:after="100"/>
              <w:ind w:hanging="360" w:left="720" w:right="0"/>
              <w:rPr>
                <w:rFonts w:ascii="Times New Roman" w:hAnsi="Times New Roman"/>
              </w:rPr>
            </w:pPr>
            <w:r>
              <w:rPr>
                <w:rStyle w:val="Strong"/>
                <w:lang w:val="en-GB" w:eastAsia="en-GB" w:bidi="ar-SA"/>
              </w:rPr>
              <w:t>NPPF §35</w:t>
            </w:r>
            <w:r>
              <w:rPr/>
              <w:t xml:space="preserve"> (soundness tests)</w:t>
            </w:r>
          </w:p>
          <w:p>
            <w:pPr>
              <w:pStyle w:val="NormalWeb"/>
              <w:bidi w:val="0"/>
              <w:spacing w:before="100" w:after="100"/>
              <w:rPr>
                <w:rFonts w:ascii="Times New Roman" w:hAnsi="Times New Roman"/>
              </w:rPr>
            </w:pPr>
            <w:r>
              <w:rPr/>
              <w:t>The plan does not demonstrate that the new settlement form:</w:t>
            </w:r>
          </w:p>
          <w:p>
            <w:pPr>
              <w:pStyle w:val="NormalWeb"/>
              <w:numPr>
                <w:ilvl w:val="0"/>
                <w:numId w:val="11"/>
              </w:numPr>
              <w:tabs>
                <w:tab w:val="left" w:pos="720" w:leader="none"/>
              </w:tabs>
              <w:bidi w:val="0"/>
              <w:spacing w:before="100" w:after="100"/>
              <w:ind w:hanging="360" w:left="720" w:right="0"/>
              <w:rPr>
                <w:rFonts w:ascii="Times New Roman" w:hAnsi="Times New Roman"/>
              </w:rPr>
            </w:pPr>
            <w:r>
              <w:rPr/>
              <w:t>protects settlement identity (NPPF §127–130)</w:t>
            </w:r>
          </w:p>
          <w:p>
            <w:pPr>
              <w:pStyle w:val="NormalWeb"/>
              <w:numPr>
                <w:ilvl w:val="0"/>
                <w:numId w:val="11"/>
              </w:numPr>
              <w:tabs>
                <w:tab w:val="left" w:pos="720" w:leader="none"/>
              </w:tabs>
              <w:bidi w:val="0"/>
              <w:spacing w:before="100" w:after="100"/>
              <w:ind w:hanging="360" w:left="720" w:right="0"/>
              <w:rPr>
                <w:rFonts w:ascii="Times New Roman" w:hAnsi="Times New Roman"/>
              </w:rPr>
            </w:pPr>
            <w:r>
              <w:rPr/>
              <w:t>avoids coalescence (NPPF §174)</w:t>
            </w:r>
          </w:p>
          <w:p>
            <w:pPr>
              <w:pStyle w:val="NormalWeb"/>
              <w:numPr>
                <w:ilvl w:val="0"/>
                <w:numId w:val="11"/>
              </w:numPr>
              <w:tabs>
                <w:tab w:val="left" w:pos="720" w:leader="none"/>
              </w:tabs>
              <w:bidi w:val="0"/>
              <w:spacing w:before="100" w:after="100"/>
              <w:ind w:hanging="360" w:left="720" w:right="0"/>
              <w:rPr>
                <w:rFonts w:ascii="Times New Roman" w:hAnsi="Times New Roman"/>
              </w:rPr>
            </w:pPr>
            <w:r>
              <w:rPr/>
              <w:t>is deliverable within infrastructure constraints (NPPF §§104–110)</w:t>
            </w:r>
          </w:p>
          <w:p>
            <w:pPr>
              <w:pStyle w:val="NormalWeb"/>
              <w:numPr>
                <w:ilvl w:val="0"/>
                <w:numId w:val="11"/>
              </w:numPr>
              <w:tabs>
                <w:tab w:val="left" w:pos="720" w:leader="none"/>
              </w:tabs>
              <w:bidi w:val="0"/>
              <w:spacing w:before="100" w:after="100"/>
              <w:ind w:hanging="360" w:left="720" w:right="0"/>
              <w:rPr>
                <w:rFonts w:ascii="Times New Roman" w:hAnsi="Times New Roman"/>
              </w:rPr>
            </w:pPr>
            <w:r>
              <w:rPr/>
              <w:t>is supported by a robust evidence base (NPPF §31)</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bidi w:val="0"/>
              <w:ind w:hanging="0" w:left="0"/>
              <w:rPr/>
            </w:pPr>
            <w:r>
              <w:rPr>
                <w:rStyle w:val="Strong"/>
                <w:rFonts w:cs="Arial" w:ascii="Arial" w:hAnsi="Arial"/>
                <w:b w:val="false"/>
                <w:bCs w:val="false"/>
                <w:lang w:val="en-GB" w:eastAsia="en-GB" w:bidi="ar-SA"/>
              </w:rPr>
              <w:t>Modification 1 – Publish a full justification for the change from Reg 18 to Reg 19</w:t>
            </w:r>
          </w:p>
          <w:p>
            <w:pPr>
              <w:pStyle w:val="NormalWeb"/>
              <w:bidi w:val="0"/>
              <w:spacing w:before="100" w:after="100"/>
              <w:rPr>
                <w:rFonts w:ascii="Times New Roman" w:hAnsi="Times New Roman"/>
              </w:rPr>
            </w:pPr>
            <w:r>
              <w:rPr/>
              <w:t>This must include:</w:t>
            </w:r>
          </w:p>
          <w:p>
            <w:pPr>
              <w:pStyle w:val="NormalWeb"/>
              <w:numPr>
                <w:ilvl w:val="0"/>
                <w:numId w:val="14"/>
              </w:numPr>
              <w:tabs>
                <w:tab w:val="left" w:pos="720" w:leader="none"/>
              </w:tabs>
              <w:bidi w:val="0"/>
              <w:spacing w:before="100" w:after="100"/>
              <w:rPr/>
            </w:pPr>
            <w:r>
              <w:rPr/>
              <w:t>comparative assessment of alternatives</w:t>
            </w:r>
          </w:p>
          <w:p>
            <w:pPr>
              <w:pStyle w:val="NormalWeb"/>
              <w:numPr>
                <w:ilvl w:val="0"/>
                <w:numId w:val="14"/>
              </w:numPr>
              <w:tabs>
                <w:tab w:val="left" w:pos="720" w:leader="none"/>
              </w:tabs>
              <w:bidi w:val="0"/>
              <w:spacing w:before="100" w:after="100"/>
              <w:rPr/>
            </w:pPr>
            <w:r>
              <w:rPr/>
              <w:t>explanation of why LMA’s scale increased</w:t>
            </w:r>
          </w:p>
          <w:p>
            <w:pPr>
              <w:pStyle w:val="NormalWeb"/>
              <w:numPr>
                <w:ilvl w:val="0"/>
                <w:numId w:val="14"/>
              </w:numPr>
              <w:tabs>
                <w:tab w:val="left" w:pos="720" w:leader="none"/>
              </w:tabs>
              <w:bidi w:val="0"/>
              <w:spacing w:before="100" w:after="100"/>
              <w:rPr/>
            </w:pPr>
            <w:r>
              <w:rPr/>
              <w:t>evidence supporting the new settlement form</w:t>
            </w:r>
          </w:p>
          <w:p>
            <w:pPr>
              <w:pStyle w:val="NormalWeb"/>
              <w:numPr>
                <w:ilvl w:val="0"/>
                <w:numId w:val="14"/>
              </w:numPr>
              <w:tabs>
                <w:tab w:val="left" w:pos="720" w:leader="none"/>
              </w:tabs>
              <w:bidi w:val="0"/>
              <w:spacing w:before="100" w:after="100"/>
              <w:rPr>
                <w:rFonts w:ascii="Times New Roman" w:hAnsi="Times New Roman"/>
              </w:rPr>
            </w:pPr>
            <w:r>
              <w:rPr/>
              <w:t>updated transport and infrastructure modelling</w:t>
            </w:r>
          </w:p>
          <w:p>
            <w:pPr>
              <w:pStyle w:val="Heading3"/>
              <w:bidi w:val="0"/>
              <w:ind w:hanging="0" w:left="0"/>
              <w:rPr/>
            </w:pPr>
            <w:r>
              <w:rPr>
                <w:rStyle w:val="Strong"/>
                <w:rFonts w:cs="Arial" w:ascii="Arial" w:hAnsi="Arial"/>
                <w:b w:val="false"/>
                <w:bCs w:val="false"/>
                <w:lang w:val="en-GB" w:eastAsia="en-GB" w:bidi="ar-SA"/>
              </w:rPr>
              <w:t>Modification 2 – Reassess LMA against Reg 18 constraints</w:t>
            </w:r>
          </w:p>
          <w:p>
            <w:pPr>
              <w:pStyle w:val="NormalWeb"/>
              <w:bidi w:val="0"/>
              <w:spacing w:before="100" w:after="100"/>
              <w:rPr>
                <w:rFonts w:ascii="Times New Roman" w:hAnsi="Times New Roman"/>
              </w:rPr>
            </w:pPr>
            <w:r>
              <w:rPr/>
              <w:t>Including:</w:t>
            </w:r>
          </w:p>
          <w:p>
            <w:pPr>
              <w:pStyle w:val="NormalWeb"/>
              <w:numPr>
                <w:ilvl w:val="0"/>
                <w:numId w:val="15"/>
              </w:numPr>
              <w:tabs>
                <w:tab w:val="left" w:pos="720" w:leader="none"/>
              </w:tabs>
              <w:bidi w:val="0"/>
              <w:spacing w:before="100" w:after="100"/>
              <w:rPr/>
            </w:pPr>
            <w:r>
              <w:rPr/>
              <w:t>transport capacity</w:t>
            </w:r>
          </w:p>
          <w:p>
            <w:pPr>
              <w:pStyle w:val="NormalWeb"/>
              <w:numPr>
                <w:ilvl w:val="0"/>
                <w:numId w:val="15"/>
              </w:numPr>
              <w:tabs>
                <w:tab w:val="left" w:pos="720" w:leader="none"/>
              </w:tabs>
              <w:bidi w:val="0"/>
              <w:spacing w:before="100" w:after="100"/>
              <w:rPr/>
            </w:pPr>
            <w:r>
              <w:rPr/>
              <w:t>landscape sensitivity</w:t>
            </w:r>
          </w:p>
          <w:p>
            <w:pPr>
              <w:pStyle w:val="NormalWeb"/>
              <w:numPr>
                <w:ilvl w:val="0"/>
                <w:numId w:val="15"/>
              </w:numPr>
              <w:tabs>
                <w:tab w:val="left" w:pos="720" w:leader="none"/>
              </w:tabs>
              <w:bidi w:val="0"/>
              <w:spacing w:before="100" w:after="100"/>
              <w:rPr/>
            </w:pPr>
            <w:r>
              <w:rPr/>
              <w:t>coalescence risks</w:t>
            </w:r>
          </w:p>
          <w:p>
            <w:pPr>
              <w:pStyle w:val="NormalWeb"/>
              <w:numPr>
                <w:ilvl w:val="0"/>
                <w:numId w:val="15"/>
              </w:numPr>
              <w:tabs>
                <w:tab w:val="left" w:pos="720" w:leader="none"/>
              </w:tabs>
              <w:bidi w:val="0"/>
              <w:spacing w:before="100" w:after="100"/>
              <w:rPr/>
            </w:pPr>
            <w:r>
              <w:rPr/>
              <w:t>wastewater limitations</w:t>
            </w:r>
          </w:p>
          <w:p>
            <w:pPr>
              <w:pStyle w:val="NormalWeb"/>
              <w:numPr>
                <w:ilvl w:val="0"/>
                <w:numId w:val="15"/>
              </w:numPr>
              <w:tabs>
                <w:tab w:val="left" w:pos="720" w:leader="none"/>
              </w:tabs>
              <w:bidi w:val="0"/>
              <w:spacing w:before="100" w:after="100"/>
              <w:rPr>
                <w:rFonts w:ascii="Times New Roman" w:hAnsi="Times New Roman"/>
              </w:rPr>
            </w:pPr>
            <w:r>
              <w:rPr/>
              <w:t>Garden Village principles</w:t>
            </w:r>
          </w:p>
          <w:p>
            <w:pPr>
              <w:pStyle w:val="Heading3"/>
              <w:bidi w:val="0"/>
              <w:ind w:hanging="0" w:left="0"/>
              <w:rPr/>
            </w:pPr>
            <w:r>
              <w:rPr>
                <w:rStyle w:val="Strong"/>
                <w:rFonts w:cs="Arial" w:ascii="Arial" w:hAnsi="Arial"/>
                <w:b w:val="false"/>
                <w:bCs w:val="false"/>
                <w:lang w:val="en-GB" w:eastAsia="en-GB" w:bidi="ar-SA"/>
              </w:rPr>
              <w:t>Modification 3 – Provide a funded infrastructure delivery plan</w:t>
            </w:r>
          </w:p>
          <w:p>
            <w:pPr>
              <w:pStyle w:val="NormalWeb"/>
              <w:bidi w:val="0"/>
              <w:spacing w:before="100" w:after="100"/>
              <w:rPr>
                <w:rFonts w:ascii="Times New Roman" w:hAnsi="Times New Roman"/>
              </w:rPr>
            </w:pPr>
            <w:r>
              <w:rPr/>
              <w:t>Including:</w:t>
            </w:r>
          </w:p>
          <w:p>
            <w:pPr>
              <w:pStyle w:val="NormalWeb"/>
              <w:numPr>
                <w:ilvl w:val="0"/>
                <w:numId w:val="3"/>
              </w:numPr>
              <w:tabs>
                <w:tab w:val="left" w:pos="720" w:leader="none"/>
              </w:tabs>
              <w:bidi w:val="0"/>
              <w:spacing w:before="100" w:after="100"/>
              <w:ind w:hanging="360" w:left="720" w:right="0"/>
              <w:rPr>
                <w:rFonts w:ascii="Times New Roman" w:hAnsi="Times New Roman"/>
              </w:rPr>
            </w:pPr>
            <w:r>
              <w:rPr/>
              <w:t>transport interventions</w:t>
            </w:r>
          </w:p>
          <w:p>
            <w:pPr>
              <w:pStyle w:val="NormalWeb"/>
              <w:numPr>
                <w:ilvl w:val="0"/>
                <w:numId w:val="3"/>
              </w:numPr>
              <w:tabs>
                <w:tab w:val="left" w:pos="720" w:leader="none"/>
              </w:tabs>
              <w:bidi w:val="0"/>
              <w:spacing w:before="100" w:after="100"/>
              <w:ind w:hanging="360" w:left="720" w:right="0"/>
              <w:rPr>
                <w:rFonts w:ascii="Times New Roman" w:hAnsi="Times New Roman"/>
              </w:rPr>
            </w:pPr>
            <w:r>
              <w:rPr/>
              <w:t>schools</w:t>
            </w:r>
          </w:p>
          <w:p>
            <w:pPr>
              <w:pStyle w:val="NormalWeb"/>
              <w:numPr>
                <w:ilvl w:val="0"/>
                <w:numId w:val="3"/>
              </w:numPr>
              <w:tabs>
                <w:tab w:val="left" w:pos="720" w:leader="none"/>
              </w:tabs>
              <w:bidi w:val="0"/>
              <w:spacing w:before="100" w:after="100"/>
              <w:ind w:hanging="360" w:left="720" w:right="0"/>
              <w:rPr>
                <w:rFonts w:ascii="Times New Roman" w:hAnsi="Times New Roman"/>
              </w:rPr>
            </w:pPr>
            <w:r>
              <w:rPr/>
              <w:t>utilities</w:t>
            </w:r>
          </w:p>
          <w:p>
            <w:pPr>
              <w:pStyle w:val="NormalWeb"/>
              <w:numPr>
                <w:ilvl w:val="0"/>
                <w:numId w:val="3"/>
              </w:numPr>
              <w:tabs>
                <w:tab w:val="left" w:pos="720" w:leader="none"/>
              </w:tabs>
              <w:bidi w:val="0"/>
              <w:spacing w:before="100" w:after="100"/>
              <w:ind w:hanging="360" w:left="720" w:right="0"/>
              <w:rPr>
                <w:rFonts w:ascii="Times New Roman" w:hAnsi="Times New Roman"/>
              </w:rPr>
            </w:pPr>
            <w:r>
              <w:rPr/>
              <w:t>wastewater upgrades</w:t>
            </w:r>
          </w:p>
          <w:p>
            <w:pPr>
              <w:pStyle w:val="NormalWeb"/>
              <w:numPr>
                <w:ilvl w:val="0"/>
                <w:numId w:val="3"/>
              </w:numPr>
              <w:tabs>
                <w:tab w:val="left" w:pos="720" w:leader="none"/>
              </w:tabs>
              <w:bidi w:val="0"/>
              <w:spacing w:before="100" w:after="100"/>
              <w:ind w:hanging="360" w:left="720" w:right="0"/>
              <w:rPr>
                <w:rFonts w:ascii="Times New Roman" w:hAnsi="Times New Roman"/>
              </w:rPr>
            </w:pPr>
            <w:r>
              <w:rPr/>
              <w:t>green infrastructure networks</w:t>
            </w:r>
          </w:p>
          <w:p>
            <w:pPr>
              <w:pStyle w:val="Heading3"/>
              <w:bidi w:val="0"/>
              <w:ind w:hanging="0" w:left="0"/>
              <w:rPr/>
            </w:pPr>
            <w:r>
              <w:rPr>
                <w:rStyle w:val="Strong"/>
                <w:rFonts w:cs="Arial" w:ascii="Arial" w:hAnsi="Arial"/>
                <w:b w:val="false"/>
                <w:bCs w:val="false"/>
                <w:lang w:val="en-GB" w:eastAsia="en-GB" w:bidi="ar-SA"/>
              </w:rPr>
              <w:t>Modification 4 – Reconsider the scale of LMA</w:t>
            </w:r>
          </w:p>
          <w:p>
            <w:pPr>
              <w:pStyle w:val="NormalWeb"/>
              <w:bidi w:val="0"/>
              <w:spacing w:before="100" w:after="100"/>
              <w:rPr>
                <w:rFonts w:ascii="Times New Roman" w:hAnsi="Times New Roman"/>
              </w:rPr>
            </w:pPr>
            <w:r>
              <w:rPr/>
              <w:t>If evidence cannot justify the change, the allocation should be:</w:t>
            </w:r>
          </w:p>
          <w:p>
            <w:pPr>
              <w:pStyle w:val="NormalWeb"/>
              <w:numPr>
                <w:ilvl w:val="0"/>
                <w:numId w:val="4"/>
              </w:numPr>
              <w:tabs>
                <w:tab w:val="left" w:pos="720" w:leader="none"/>
              </w:tabs>
              <w:bidi w:val="0"/>
              <w:spacing w:before="100" w:after="100"/>
              <w:ind w:hanging="360" w:left="720" w:right="0"/>
              <w:rPr>
                <w:rFonts w:ascii="Times New Roman" w:hAnsi="Times New Roman"/>
              </w:rPr>
            </w:pPr>
            <w:r>
              <w:rPr/>
              <w:t>reduced</w:t>
            </w:r>
          </w:p>
          <w:p>
            <w:pPr>
              <w:pStyle w:val="NormalWeb"/>
              <w:numPr>
                <w:ilvl w:val="0"/>
                <w:numId w:val="4"/>
              </w:numPr>
              <w:tabs>
                <w:tab w:val="left" w:pos="720" w:leader="none"/>
              </w:tabs>
              <w:bidi w:val="0"/>
              <w:spacing w:before="100" w:after="100"/>
              <w:ind w:hanging="360" w:left="720" w:right="0"/>
              <w:rPr>
                <w:rFonts w:ascii="Times New Roman" w:hAnsi="Times New Roman"/>
              </w:rPr>
            </w:pPr>
            <w:r>
              <w:rPr/>
              <w:t>rephased</w:t>
            </w:r>
          </w:p>
          <w:p>
            <w:pPr>
              <w:pStyle w:val="NormalWeb"/>
              <w:numPr>
                <w:ilvl w:val="0"/>
                <w:numId w:val="4"/>
              </w:numPr>
              <w:tabs>
                <w:tab w:val="left" w:pos="720" w:leader="none"/>
              </w:tabs>
              <w:bidi w:val="0"/>
              <w:spacing w:before="100" w:after="100"/>
              <w:ind w:hanging="360" w:left="720" w:right="0"/>
              <w:rPr>
                <w:rFonts w:ascii="Times New Roman" w:hAnsi="Times New Roman"/>
              </w:rPr>
            </w:pPr>
            <w:r>
              <w:rPr/>
              <w:t>or replaced with less constrained alternatives</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Regulation 19 version is </w:t>
            </w:r>
            <w:r>
              <w:rPr>
                <w:rStyle w:val="Strong"/>
                <w:lang w:val="en-GB" w:eastAsia="en-GB" w:bidi="ar-SA"/>
              </w:rPr>
              <w:t>materially inconsistent</w:t>
            </w:r>
            <w:r>
              <w:rPr/>
              <w:t xml:space="preserve"> with the Regulation 18 Preferred Options consultation, and the plan </w:t>
            </w:r>
            <w:r>
              <w:rPr>
                <w:rStyle w:val="Strong"/>
                <w:lang w:val="en-GB" w:eastAsia="en-GB" w:bidi="ar-SA"/>
              </w:rPr>
              <w:t>fails to justify</w:t>
            </w:r>
            <w:r>
              <w:rPr/>
              <w:t xml:space="preserve"> these changes as required by </w:t>
            </w:r>
            <w:r>
              <w:rPr>
                <w:rStyle w:val="Strong"/>
                <w:lang w:val="en-GB" w:eastAsia="en-GB" w:bidi="ar-SA"/>
              </w:rPr>
              <w:t>NPPF §31, §33, and §35</w:t>
            </w:r>
            <w:r>
              <w:rPr/>
              <w:t>.</w:t>
            </w:r>
          </w:p>
          <w:p>
            <w:pPr>
              <w:pStyle w:val="NormalWeb"/>
              <w:bidi w:val="0"/>
              <w:spacing w:before="100" w:after="100"/>
              <w:rPr>
                <w:rFonts w:ascii="Times New Roman" w:hAnsi="Times New Roman"/>
              </w:rPr>
            </w:pPr>
            <w:r>
              <w:rPr/>
              <w:t xml:space="preserve">The requested modifications are necessary to ensure the plan is </w:t>
            </w:r>
            <w:r>
              <w:rPr>
                <w:rStyle w:val="Strong"/>
                <w:lang w:val="en-GB" w:eastAsia="en-GB" w:bidi="ar-SA"/>
              </w:rPr>
              <w:t>justified, effective, and consistent with national policy</w:t>
            </w:r>
            <w:r>
              <w:rPr/>
              <w: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LibreOffice/26.2.5.2$Windows_X86_64 LibreOffice_project/cd7284b4cbbfeb507e630c1aac019f4157393acb</Application>
  <AppVersion>15.0000</AppVersion>
  <Pages>8</Pages>
  <Words>1713</Words>
  <Characters>9450</Characters>
  <CharactersWithSpaces>10926</CharactersWithSpaces>
  <Paragraphs>203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2026-08-28T15:03:24Z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