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tbl>
      <w:tblPr>
        <w:tblW w:w="9046" w:type="dxa"/>
        <w:jc w:val="left"/>
        <w:tblInd w:w="-101" w:type="dxa"/>
        <w:tblLayout w:type="fixed"/>
        <w:tblCellMar>
          <w:top w:w="0" w:type="dxa"/>
          <w:left w:w="108" w:type="dxa"/>
          <w:bottom w:w="0" w:type="dxa"/>
          <w:right w:w="108" w:type="dxa"/>
        </w:tblCellMar>
        <w:tblLook w:val="0000" w:firstRow="0" w:noVBand="0" w:lastRow="0" w:firstColumn="0" w:lastColumn="0" w:noHBand="0"/>
      </w:tblPr>
      <w:tblGrid>
        <w:gridCol w:w="2086"/>
        <w:gridCol w:w="76"/>
        <w:gridCol w:w="1630"/>
        <w:gridCol w:w="674"/>
        <w:gridCol w:w="712"/>
        <w:gridCol w:w="283"/>
        <w:gridCol w:w="285"/>
        <w:gridCol w:w="1924"/>
        <w:gridCol w:w="1107"/>
        <w:gridCol w:w="269"/>
      </w:tblGrid>
      <w:tr>
        <w:trPr>
          <w:trHeight w:val="1104" w:hRule="atLeast"/>
          <w:cantSplit/>
        </w:trPr>
        <w:tc>
          <w:tcPr>
            <w:tcW w:w="2162" w:type="dxa"/>
            <w:gridSpan w:val="2"/>
            <w:vMerge w:val="restart"/>
            <w:tcBorders/>
            <w:vAlign w:val="bottom"/>
          </w:tcPr>
          <w:p>
            <w:pPr>
              <w:pStyle w:val="Normal"/>
              <w:spacing w:lineRule="auto" w:line="960"/>
              <w:rPr>
                <w:rFonts w:ascii="Arial" w:hAnsi="Arial" w:cs="Arial"/>
                <w:b/>
                <w:bCs/>
              </w:rPr>
            </w:pPr>
            <w:r>
              <w:rPr>
                <w:rFonts w:cs="Arial" w:ascii="Arial" w:hAnsi="Arial"/>
                <w:b/>
                <w:bCs/>
              </w:rPr>
              <w:t>Insert Logo</w:t>
            </w:r>
          </w:p>
        </w:tc>
        <w:tc>
          <w:tcPr>
            <w:tcW w:w="5508" w:type="dxa"/>
            <w:gridSpan w:val="6"/>
            <w:vMerge w:val="restart"/>
            <w:tcBorders/>
            <w:vAlign w:val="bottom"/>
          </w:tcPr>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t>South Warwickshire Local Plan 2025-2050</w:t>
            </w:r>
          </w:p>
          <w:p>
            <w:pPr>
              <w:pStyle w:val="Normal"/>
              <w:jc w:val="center"/>
              <w:rPr>
                <w:rFonts w:ascii="Arial" w:hAnsi="Arial" w:cs="Arial"/>
                <w:b/>
                <w:lang w:eastAsia="en-US"/>
              </w:rPr>
            </w:pPr>
            <w:r>
              <w:rPr>
                <w:rFonts w:cs="Arial" w:ascii="Arial" w:hAnsi="Arial"/>
                <w:b/>
                <w:lang w:eastAsia="en-US"/>
              </w:rPr>
              <w:t>Representation Form</w:t>
            </w:r>
          </w:p>
          <w:p>
            <w:pPr>
              <w:pStyle w:val="Normal"/>
              <w:jc w:val="center"/>
              <w:rPr>
                <w:rFonts w:ascii="Arial" w:hAnsi="Arial" w:cs="Arial"/>
                <w:b/>
                <w:lang w:eastAsia="en-US"/>
              </w:rPr>
            </w:pPr>
            <w:r>
              <w:rPr>
                <w:rFonts w:cs="Arial" w:ascii="Arial" w:hAnsi="Arial"/>
                <w:b/>
                <w:lang w:eastAsia="en-US"/>
              </w:rPr>
              <w:t>Regulation 19 Stage</w:t>
            </w:r>
          </w:p>
          <w:p>
            <w:pPr>
              <w:pStyle w:val="Normal"/>
              <w:jc w:val="center"/>
              <w:rPr>
                <w:rFonts w:ascii="Arial" w:hAnsi="Arial" w:cs="Arial"/>
              </w:rPr>
            </w:pPr>
            <w:r>
              <w:rPr>
                <w:rFonts w:cs="Arial" w:ascii="Arial" w:hAnsi="Arial"/>
              </w:rPr>
            </w:r>
          </w:p>
        </w:tc>
        <w:tc>
          <w:tcPr>
            <w:tcW w:w="1376" w:type="dxa"/>
            <w:gridSpan w:val="2"/>
            <w:vMerge w:val="restart"/>
            <w:tcBorders/>
            <w:vAlign w:val="center"/>
          </w:tcPr>
          <w:p>
            <w:pPr>
              <w:pStyle w:val="Normal"/>
              <w:jc w:val="center"/>
              <w:rPr>
                <w:rFonts w:ascii="Arial" w:hAnsi="Arial" w:cs="Arial"/>
                <w:b/>
                <w:bCs/>
              </w:rPr>
            </w:pPr>
            <w:r>
              <w:rPr>
                <w:rFonts w:cs="Arial" w:ascii="Arial" w:hAnsi="Arial"/>
                <w:b/>
                <w:bCs/>
              </w:rPr>
              <w:t>Ref:</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(For official use only)</w:t>
            </w:r>
          </w:p>
        </w:tc>
      </w:tr>
      <w:tr>
        <w:trPr>
          <w:trHeight w:val="432" w:hRule="atLeast"/>
          <w:cantSplit/>
        </w:trPr>
        <w:tc>
          <w:tcPr>
            <w:tcW w:w="2162" w:type="dxa"/>
            <w:gridSpan w:val="2"/>
            <w:vMerge w:val="continue"/>
            <w:tcBorders/>
            <w:vAlign w:val="bottom"/>
          </w:tcPr>
          <w:p>
            <w:pPr>
              <w:pStyle w:val="Normal"/>
              <w:ind w:firstLine="3" w:left="-3"/>
              <w:rPr>
                <w:rFonts w:ascii="Arial" w:hAnsi="Arial" w:cs="Arial"/>
              </w:rPr>
            </w:pPr>
            <w:r>
              <w:rPr>
                <w:rFonts w:cs="Arial" w:ascii="Arial" w:hAnsi="Arial"/>
              </w:rPr>
            </w:r>
          </w:p>
        </w:tc>
        <w:tc>
          <w:tcPr>
            <w:tcW w:w="5508"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276" w:hRule="atLeast"/>
          <w:cantSplit/>
        </w:trPr>
        <w:tc>
          <w:tcPr>
            <w:tcW w:w="2162" w:type="dxa"/>
            <w:gridSpan w:val="2"/>
            <w:vMerge w:val="continue"/>
            <w:tcBorders/>
            <w:vAlign w:val="bottom"/>
          </w:tcPr>
          <w:p>
            <w:pPr>
              <w:pStyle w:val="Normal"/>
              <w:ind w:firstLine="3" w:left="-3"/>
              <w:rPr>
                <w:rFonts w:ascii="Arial" w:hAnsi="Arial" w:cs="Arial"/>
              </w:rPr>
            </w:pPr>
            <w:r>
              <w:rPr>
                <w:rFonts w:cs="Arial" w:ascii="Arial" w:hAnsi="Arial"/>
              </w:rPr>
            </w:r>
          </w:p>
        </w:tc>
        <w:tc>
          <w:tcPr>
            <w:tcW w:w="5508"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157" w:hRule="atLeast"/>
          <w:cantSplit/>
        </w:trPr>
        <w:tc>
          <w:tcPr>
            <w:tcW w:w="9046" w:type="dxa"/>
            <w:gridSpan w:val="10"/>
            <w:tcBorders>
              <w:top w:val="double" w:sz="4" w:space="0" w:color="000000"/>
            </w:tcBorders>
            <w:vAlign w:val="bottom"/>
          </w:tcPr>
          <w:p>
            <w:pPr>
              <w:pStyle w:val="Normal"/>
              <w:ind w:firstLine="3" w:left="-3"/>
              <w:rPr>
                <w:rFonts w:ascii="Arial" w:hAnsi="Arial" w:cs="Arial"/>
              </w:rPr>
            </w:pPr>
            <w:r>
              <w:rPr>
                <w:rFonts w:cs="Arial" w:ascii="Arial" w:hAnsi="Arial"/>
              </w:rPr>
            </w:r>
          </w:p>
        </w:tc>
      </w:tr>
      <w:tr>
        <w:trPr>
          <w:trHeight w:val="538"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rPr>
              <w:t>Please return this form by</w:t>
            </w:r>
            <w:r>
              <w:rPr>
                <w:rFonts w:cs="Arial" w:ascii="Arial" w:hAnsi="Arial"/>
                <w:b/>
                <w:bCs/>
              </w:rPr>
              <w:t xml:space="preserve"> 23:59pm on Tuesday 8</w:t>
            </w:r>
            <w:r>
              <w:rPr>
                <w:rFonts w:cs="Arial" w:ascii="Arial" w:hAnsi="Arial"/>
                <w:b/>
                <w:bCs/>
                <w:vertAlign w:val="superscript"/>
              </w:rPr>
              <w:t>th</w:t>
            </w:r>
            <w:r>
              <w:rPr>
                <w:rFonts w:cs="Arial" w:ascii="Arial" w:hAnsi="Arial"/>
                <w:b/>
                <w:bCs/>
              </w:rPr>
              <w:t xml:space="preserve"> September 2026 to South Warwickshire Local PlanTeam, Stratford-upon-Avon District, Elizabeth House, Church Street, Stratford-upon-Avon, Warwickshire, CV37 6HX</w:t>
            </w:r>
          </w:p>
          <w:p>
            <w:pPr>
              <w:pStyle w:val="Normal"/>
              <w:ind w:firstLine="3" w:left="-3"/>
              <w:rPr>
                <w:rFonts w:ascii="Arial" w:hAnsi="Arial" w:cs="Arial"/>
                <w:b/>
                <w:bCs/>
              </w:rPr>
            </w:pPr>
            <w:r>
              <w:rPr>
                <w:rFonts w:cs="Arial" w:ascii="Arial" w:hAnsi="Arial"/>
              </w:rPr>
              <w:t xml:space="preserve">You can send the form via email to: </w:t>
            </w:r>
            <w:r>
              <w:rPr>
                <w:rFonts w:cs="Arial" w:ascii="Arial" w:hAnsi="Arial"/>
                <w:b/>
                <w:bCs/>
              </w:rPr>
              <w:t>swlp@warwickdc.gov.uk</w:t>
            </w:r>
          </w:p>
        </w:tc>
      </w:tr>
      <w:tr>
        <w:trPr>
          <w:trHeight w:val="157"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b/>
                <w:bCs/>
              </w:rPr>
              <w:t>Privacy Statement – PLEASE READ</w:t>
            </w:r>
          </w:p>
          <w:p>
            <w:pPr>
              <w:pStyle w:val="Normal"/>
              <w:ind w:firstLine="3" w:left="-3"/>
              <w:rPr>
                <w:rFonts w:ascii="Arial" w:hAnsi="Arial" w:cs="Arial"/>
              </w:rPr>
            </w:pPr>
            <w:r>
              <w:rPr>
                <w:rFonts w:cs="Arial" w:ascii="Arial" w:hAnsi="Arial"/>
              </w:rPr>
              <w:t>All comments are published together with names and (where applicable) organisations; therefore, all comments are publicly available and attributable. We will only share personal data in accordance with the Data Protection Act 1998 and the UK General Data Protection Regulations. For further information please see the Council’s Privacy Policy and Strategic Planning Privacy Notice:</w:t>
            </w:r>
          </w:p>
        </w:tc>
      </w:tr>
      <w:tr>
        <w:trPr>
          <w:trHeight w:val="157" w:hRule="atLeast"/>
          <w:cantSplit/>
        </w:trPr>
        <w:tc>
          <w:tcPr>
            <w:tcW w:w="9046" w:type="dxa"/>
            <w:gridSpan w:val="10"/>
            <w:tcBorders>
              <w:top w:val="single" w:sz="4" w:space="0" w:color="000000"/>
              <w:bottom w:val="double" w:sz="4" w:space="0" w:color="000000"/>
            </w:tcBorders>
            <w:vAlign w:val="bottom"/>
          </w:tcPr>
          <w:p>
            <w:pPr>
              <w:pStyle w:val="Normal"/>
              <w:ind w:firstLine="3" w:left="-3"/>
              <w:rPr>
                <w:rFonts w:ascii="Arial" w:hAnsi="Arial" w:cs="Arial"/>
              </w:rPr>
            </w:pPr>
            <w:r>
              <w:rPr>
                <w:rFonts w:cs="Arial" w:ascii="Arial" w:hAnsi="Arial"/>
              </w:rPr>
            </w:r>
          </w:p>
          <w:p>
            <w:pPr>
              <w:pStyle w:val="Normal"/>
              <w:ind w:firstLine="3" w:left="-3"/>
              <w:rPr>
                <w:rFonts w:ascii="Arial" w:hAnsi="Arial" w:cs="Arial"/>
              </w:rPr>
            </w:pPr>
            <w:r>
              <w:rPr>
                <w:rFonts w:cs="Arial" w:ascii="Arial" w:hAnsi="Arial"/>
              </w:rPr>
              <w:t>This form has two parts –</w:t>
            </w:r>
          </w:p>
          <w:p>
            <w:pPr>
              <w:pStyle w:val="Normal"/>
              <w:ind w:firstLine="3" w:left="-3"/>
              <w:rPr>
                <w:rFonts w:ascii="Arial" w:hAnsi="Arial" w:cs="Arial"/>
              </w:rPr>
            </w:pPr>
            <w:r>
              <w:rPr>
                <w:rFonts w:cs="Arial" w:ascii="Arial" w:hAnsi="Arial"/>
                <w:b/>
                <w:bCs/>
              </w:rPr>
              <w:t>Part A</w:t>
            </w:r>
            <w:r>
              <w:rPr>
                <w:rFonts w:cs="Arial" w:ascii="Arial" w:hAnsi="Arial"/>
              </w:rPr>
              <w:t xml:space="preserve"> – Representor’s details:  Need only be completed once. Ensure all emails or postal submissions include one Part A form or include this information in the email/letter.</w:t>
            </w:r>
          </w:p>
          <w:p>
            <w:pPr>
              <w:pStyle w:val="Normal"/>
              <w:ind w:firstLine="3" w:left="-3"/>
              <w:rPr>
                <w:rFonts w:ascii="Arial" w:hAnsi="Arial" w:cs="Arial"/>
              </w:rPr>
            </w:pPr>
            <w:r>
              <w:rPr>
                <w:rFonts w:cs="Arial" w:ascii="Arial" w:hAnsi="Arial"/>
                <w:b/>
                <w:bCs/>
              </w:rPr>
              <w:t>Part B</w:t>
            </w:r>
            <w:r>
              <w:rPr>
                <w:rFonts w:cs="Arial" w:ascii="Arial" w:hAnsi="Arial"/>
              </w:rPr>
              <w:t xml:space="preserve"> – Your representation(s).  Please fill in a separate sheet for each representation you wish to make, by using the Copy and Paste functions.</w:t>
            </w:r>
          </w:p>
          <w:p>
            <w:pPr>
              <w:pStyle w:val="Normal"/>
              <w:ind w:firstLine="3" w:left="-3"/>
              <w:rPr>
                <w:rFonts w:ascii="Arial" w:hAnsi="Arial" w:cs="Arial"/>
              </w:rPr>
            </w:pPr>
            <w:r>
              <w:rPr>
                <w:rFonts w:cs="Arial" w:ascii="Arial" w:hAnsi="Arial"/>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b/>
                <w:kern w:val="2"/>
                <w:sz w:val="24"/>
                <w:szCs w:val="24"/>
              </w:rPr>
            </w:pPr>
            <w:bookmarkStart w:id="0" w:name="_Toc364432883"/>
            <w:r>
              <w:rPr>
                <w:rFonts w:cs="Arial" w:ascii="Arial" w:hAnsi="Arial"/>
                <w:b/>
                <w:kern w:val="2"/>
                <w:sz w:val="24"/>
                <w:szCs w:val="24"/>
              </w:rPr>
              <w:t>Part A</w:t>
            </w:r>
            <w:bookmarkEnd w:id="0"/>
          </w:p>
          <w:p>
            <w:pPr>
              <w:pStyle w:val="BodyText"/>
              <w:rPr>
                <w:rFonts w:ascii="Arial" w:hAnsi="Arial" w:cs="Arial"/>
                <w:sz w:val="24"/>
                <w:szCs w:val="24"/>
              </w:rPr>
            </w:pPr>
            <w:r>
              <w:rPr>
                <w:rFonts w:cs="Arial" w:ascii="Arial" w:hAnsi="Arial"/>
                <w:sz w:val="24"/>
                <w:szCs w:val="24"/>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kern w:val="2"/>
                <w:sz w:val="24"/>
                <w:szCs w:val="24"/>
              </w:rPr>
            </w:pPr>
            <w:r>
              <w:rPr>
                <w:rFonts w:cs="Arial" w:ascii="Arial" w:hAnsi="Arial"/>
                <w:kern w:val="2"/>
                <w:sz w:val="24"/>
                <w:szCs w:val="24"/>
              </w:rPr>
              <w:t>These are the details that will be used for all future correspondence, unless otherwise advised in writing.</w:t>
            </w:r>
          </w:p>
          <w:p>
            <w:pPr>
              <w:pStyle w:val="BodyText"/>
              <w:rPr>
                <w:rFonts w:ascii="Arial" w:hAnsi="Arial" w:cs="Arial"/>
                <w:b/>
                <w:kern w:val="2"/>
                <w:sz w:val="24"/>
                <w:szCs w:val="24"/>
              </w:rPr>
            </w:pPr>
            <w:r>
              <w:rPr>
                <w:rFonts w:cs="Arial" w:ascii="Arial" w:hAnsi="Arial"/>
                <w:b/>
                <w:kern w:val="2"/>
                <w:sz w:val="24"/>
                <w:szCs w:val="24"/>
              </w:rPr>
            </w:r>
          </w:p>
        </w:tc>
      </w:tr>
      <w:tr>
        <w:trPr>
          <w:trHeight w:val="222" w:hRule="atLeast"/>
          <w:cantSplit/>
        </w:trPr>
        <w:tc>
          <w:tcPr>
            <w:tcW w:w="2086" w:type="dxa"/>
            <w:tcBorders>
              <w:top w:val="double" w:sz="4" w:space="0" w:color="000000"/>
            </w:tcBorders>
            <w:vAlign w:val="bottom"/>
          </w:tcPr>
          <w:p>
            <w:pPr>
              <w:pStyle w:val="BodyText"/>
              <w:numPr>
                <w:ilvl w:val="0"/>
                <w:numId w:val="2"/>
              </w:numPr>
              <w:rPr>
                <w:rFonts w:ascii="Arial" w:hAnsi="Arial" w:cs="Arial"/>
              </w:rPr>
            </w:pPr>
            <w:r>
              <w:rPr>
                <w:rFonts w:cs="Arial" w:ascii="Arial" w:hAnsi="Arial"/>
              </w:rPr>
              <w:t>Personal Details*</w:t>
            </w:r>
          </w:p>
        </w:tc>
        <w:tc>
          <w:tcPr>
            <w:tcW w:w="1706" w:type="dxa"/>
            <w:gridSpan w:val="2"/>
            <w:tcBorders>
              <w:top w:val="double" w:sz="4" w:space="0" w:color="000000"/>
            </w:tcBorders>
            <w:vAlign w:val="bottom"/>
          </w:tcPr>
          <w:p>
            <w:pPr>
              <w:pStyle w:val="BodyText"/>
              <w:rPr>
                <w:rFonts w:ascii="Arial" w:hAnsi="Arial" w:cs="Arial"/>
              </w:rPr>
            </w:pPr>
            <w:r>
              <w:rPr>
                <w:rFonts w:cs="Arial" w:ascii="Arial" w:hAnsi="Arial"/>
              </w:rPr>
            </w:r>
          </w:p>
        </w:tc>
        <w:tc>
          <w:tcPr>
            <w:tcW w:w="674" w:type="dxa"/>
            <w:tcBorders>
              <w:top w:val="double" w:sz="4" w:space="0" w:color="000000"/>
            </w:tcBorders>
            <w:vAlign w:val="bottom"/>
          </w:tcPr>
          <w:p>
            <w:pPr>
              <w:pStyle w:val="BodyText"/>
              <w:rPr>
                <w:rFonts w:ascii="Arial" w:hAnsi="Arial" w:cs="Arial"/>
              </w:rPr>
            </w:pPr>
            <w:r>
              <w:rPr>
                <w:rFonts w:cs="Arial" w:ascii="Arial" w:hAnsi="Arial"/>
              </w:rPr>
            </w:r>
          </w:p>
        </w:tc>
        <w:tc>
          <w:tcPr>
            <w:tcW w:w="712" w:type="dxa"/>
            <w:tcBorders>
              <w:top w:val="double" w:sz="4" w:space="0" w:color="000000"/>
            </w:tcBorders>
            <w:vAlign w:val="bottom"/>
          </w:tcPr>
          <w:p>
            <w:pPr>
              <w:pStyle w:val="BodyText"/>
              <w:rPr>
                <w:rFonts w:ascii="Arial" w:hAnsi="Arial" w:cs="Arial"/>
              </w:rPr>
            </w:pPr>
            <w:r>
              <w:rPr>
                <w:rFonts w:cs="Arial" w:ascii="Arial" w:hAnsi="Arial"/>
              </w:rPr>
            </w:r>
          </w:p>
        </w:tc>
        <w:tc>
          <w:tcPr>
            <w:tcW w:w="283" w:type="dxa"/>
            <w:tcBorders>
              <w:top w:val="double" w:sz="4" w:space="0" w:color="000000"/>
            </w:tcBorders>
            <w:vAlign w:val="bottom"/>
          </w:tcPr>
          <w:p>
            <w:pPr>
              <w:pStyle w:val="BodyText"/>
              <w:rPr>
                <w:rFonts w:ascii="Arial" w:hAnsi="Arial" w:cs="Arial"/>
              </w:rPr>
            </w:pPr>
            <w:r>
              <w:rPr>
                <w:rFonts w:cs="Arial" w:ascii="Arial" w:hAnsi="Arial"/>
              </w:rPr>
            </w:r>
          </w:p>
        </w:tc>
        <w:tc>
          <w:tcPr>
            <w:tcW w:w="285" w:type="dxa"/>
            <w:tcBorders>
              <w:top w:val="double" w:sz="4" w:space="0" w:color="000000"/>
            </w:tcBorders>
            <w:vAlign w:val="bottom"/>
          </w:tcPr>
          <w:p>
            <w:pPr>
              <w:pStyle w:val="BodyText"/>
              <w:rPr>
                <w:rFonts w:ascii="Arial" w:hAnsi="Arial" w:cs="Arial"/>
              </w:rPr>
            </w:pPr>
            <w:r>
              <w:rPr>
                <w:rFonts w:cs="Arial" w:ascii="Arial" w:hAnsi="Arial"/>
              </w:rPr>
            </w:r>
          </w:p>
        </w:tc>
        <w:tc>
          <w:tcPr>
            <w:tcW w:w="3031" w:type="dxa"/>
            <w:gridSpan w:val="2"/>
            <w:tcBorders/>
            <w:vAlign w:val="bottom"/>
          </w:tcPr>
          <w:p>
            <w:pPr>
              <w:pStyle w:val="BodyText"/>
              <w:numPr>
                <w:ilvl w:val="0"/>
                <w:numId w:val="2"/>
              </w:numPr>
              <w:rPr>
                <w:rFonts w:ascii="Arial" w:hAnsi="Arial" w:cs="Arial"/>
              </w:rPr>
            </w:pPr>
            <w:r>
              <w:rPr>
                <w:rFonts w:cs="Arial" w:ascii="Arial" w:hAnsi="Arial"/>
              </w:rPr>
              <w:t>Agent’s Details (if applicable)</w:t>
            </w:r>
          </w:p>
        </w:tc>
        <w:tc>
          <w:tcPr>
            <w:tcW w:w="269" w:type="dxa"/>
            <w:tcBorders/>
            <w:tcMar>
              <w:left w:w="10" w:type="dxa"/>
              <w:right w:w="10" w:type="dxa"/>
            </w:tcMar>
          </w:tcPr>
          <w:p>
            <w:pPr>
              <w:pStyle w:val="Normal"/>
              <w:spacing w:lineRule="atLeast" w:line="0" w:before="0" w:after="0"/>
              <w:rPr>
                <w:sz w:val="2"/>
              </w:rPr>
            </w:pPr>
            <w:r>
              <w:rPr>
                <w:sz w:val="2"/>
              </w:rPr>
            </w:r>
          </w:p>
        </w:tc>
      </w:tr>
      <w:tr>
        <w:trPr>
          <w:trHeight w:val="105" w:hRule="atLeast"/>
          <w:cantSplit/>
        </w:trPr>
        <w:tc>
          <w:tcPr>
            <w:tcW w:w="8777" w:type="dxa"/>
            <w:gridSpan w:val="9"/>
            <w:tcBorders/>
            <w:vAlign w:val="bottom"/>
          </w:tcPr>
          <w:p>
            <w:pPr>
              <w:pStyle w:val="BodyText"/>
              <w:rPr>
                <w:rFonts w:ascii="Arial" w:hAnsi="Arial" w:cs="Arial"/>
              </w:rPr>
            </w:pPr>
            <w:r>
              <w:rPr>
                <w:rFonts w:cs="Arial" w:ascii="Arial" w:hAnsi="Arial"/>
              </w:rPr>
              <w:t>*</w:t>
            </w:r>
            <w:r>
              <w:rPr>
                <w:rFonts w:cs="Arial" w:ascii="Arial" w:hAnsi="Arial"/>
                <w:i/>
              </w:rPr>
              <w:t>If an agent is appointed, please complete only the Title, Name and Organisation (if applicable)</w:t>
            </w:r>
          </w:p>
          <w:p>
            <w:pPr>
              <w:pStyle w:val="BodyText"/>
              <w:rPr>
                <w:rFonts w:ascii="Arial" w:hAnsi="Arial" w:cs="Arial"/>
              </w:rPr>
            </w:pPr>
            <w:r>
              <w:rPr>
                <w:rFonts w:cs="Arial" w:ascii="Arial" w:hAnsi="Arial"/>
                <w:i/>
              </w:rPr>
              <w:t>boxes below but complete the full contact details of the agent in 2.</w:t>
            </w:r>
          </w:p>
          <w:p>
            <w:pPr>
              <w:pStyle w:val="BodyText"/>
              <w:rPr>
                <w:rFonts w:ascii="Arial" w:hAnsi="Arial" w:cs="Arial"/>
              </w:rPr>
            </w:pPr>
            <w:r>
              <w:rPr>
                <w:rFonts w:cs="Arial" w:ascii="Arial" w:hAnsi="Arial"/>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Title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bCs/>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First Name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Last Name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Job Title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Organisation</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Address Line 1</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2</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3</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4</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Post Code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Telephone Number</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E-mail Address</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183" w:hRule="atLeast"/>
          <w:cantSplit/>
        </w:trPr>
        <w:tc>
          <w:tcPr>
            <w:tcW w:w="5746" w:type="dxa"/>
            <w:gridSpan w:val="7"/>
            <w:tcBorders>
              <w:bottom w:val="double" w:sz="4" w:space="0" w:color="000000"/>
            </w:tcBorders>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double" w:sz="4" w:space="0" w:color="000000"/>
            </w:tcBorders>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bl>
    <w:p>
      <w:pPr>
        <w:pStyle w:val="BodyText"/>
        <w:rPr>
          <w:rFonts w:ascii="Arial" w:hAnsi="Arial" w:cs="Arial"/>
          <w:b/>
          <w:sz w:val="24"/>
          <w:szCs w:val="24"/>
        </w:rPr>
      </w:pPr>
      <w:r>
        <w:rPr>
          <w:rFonts w:cs="Arial" w:ascii="Arial" w:hAnsi="Arial"/>
          <w:b/>
          <w:sz w:val="24"/>
          <w:szCs w:val="24"/>
        </w:rPr>
      </w:r>
    </w:p>
    <w:p>
      <w:pPr>
        <w:pStyle w:val="Normal"/>
        <w:rPr>
          <w:rFonts w:ascii="Arial" w:hAnsi="Arial" w:cs="Arial"/>
          <w:b/>
          <w:bCs/>
        </w:rPr>
      </w:pPr>
      <w:r>
        <w:rPr>
          <w:rFonts w:cs="Arial" w:ascii="Arial" w:hAnsi="Arial"/>
          <w:b/>
          <w:bCs/>
        </w:rPr>
        <w:t>Further contact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note that by completing and submitting this questionnaire, you are consenting to being kept informed of further formal stages of the South Warwickshire Local Plan, including all matters relating to the Local Plan Examination following submission. Please ensure you have read and understood the Privacy Statement on our website.</w:t>
      </w:r>
    </w:p>
    <w:p>
      <w:pPr>
        <w:pStyle w:val="Normal"/>
        <w:rPr>
          <w:rFonts w:ascii="Arial" w:hAnsi="Arial" w:cs="Arial"/>
        </w:rPr>
      </w:pPr>
      <w:r>
        <w:rPr>
          <w:rFonts w:cs="Arial" w:ascii="Arial" w:hAnsi="Arial"/>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 xml:space="preserve">If you </w:t>
            </w:r>
            <w:r>
              <w:rPr>
                <w:rFonts w:cs="Arial" w:ascii="Arial" w:hAnsi="Arial"/>
                <w:kern w:val="0"/>
                <w:sz w:val="22"/>
                <w:u w:val="single"/>
                <w:lang w:val="en-GB" w:bidi="ar-SA"/>
              </w:rPr>
              <w:t>do not consent</w:t>
            </w:r>
            <w:r>
              <w:rPr>
                <w:rFonts w:cs="Arial" w:ascii="Arial" w:hAnsi="Arial"/>
                <w:kern w:val="0"/>
                <w:sz w:val="22"/>
                <w:lang w:val="en-GB" w:bidi="ar-SA"/>
              </w:rPr>
              <w:t xml:space="preserve"> to being kept informed of further formal stages, please mark the box:</w:t>
            </w:r>
          </w:p>
        </w:tc>
        <w:tc>
          <w:tcPr>
            <w:tcW w:w="856" w:type="dxa"/>
            <w:tcBorders/>
          </w:tcPr>
          <w:p>
            <w:pPr>
              <w:pStyle w:val="Normal"/>
              <w:widowControl/>
              <w:spacing w:before="0" w:after="0"/>
              <w:jc w:val="left"/>
              <w:rPr>
                <w:rFonts w:ascii="Arial" w:hAnsi="Arial" w:cs="Arial"/>
              </w:rPr>
            </w:pPr>
            <w:r>
              <w:rPr>
                <w:rFonts w:cs="Arial" w:ascii="Arial" w:hAnsi="Arial"/>
                <w:sz w:val="22"/>
              </w:rPr>
              <w:t>X</w:t>
            </w:r>
          </w:p>
        </w:tc>
      </w:tr>
    </w:tbl>
    <w:p>
      <w:pPr>
        <w:pStyle w:val="BodyText"/>
        <w:rPr>
          <w:rFonts w:ascii="Arial" w:hAnsi="Arial" w:cs="Arial"/>
          <w:sz w:val="24"/>
          <w:szCs w:val="24"/>
        </w:rPr>
      </w:pPr>
      <w:r>
        <w:rPr>
          <w:rFonts w:cs="Arial" w:ascii="Arial" w:hAnsi="Arial"/>
          <w:sz w:val="24"/>
          <w:szCs w:val="24"/>
        </w:rPr>
      </w:r>
    </w:p>
    <w:p>
      <w:pPr>
        <w:pStyle w:val="BodyText"/>
        <w:rPr>
          <w:rFonts w:ascii="Arial" w:hAnsi="Arial" w:cs="Arial"/>
          <w:sz w:val="24"/>
          <w:szCs w:val="24"/>
        </w:rPr>
      </w:pPr>
      <w:r>
        <w:rPr>
          <w:rFonts w:cs="Arial" w:ascii="Arial" w:hAnsi="Arial"/>
          <w:sz w:val="24"/>
          <w:szCs w:val="24"/>
        </w:rPr>
      </w:r>
    </w:p>
    <w:p>
      <w:pPr>
        <w:pStyle w:val="BodyText"/>
        <w:rPr>
          <w:rFonts w:ascii="Arial" w:hAnsi="Arial" w:cs="Arial"/>
          <w:b/>
          <w:bCs/>
          <w:sz w:val="24"/>
          <w:szCs w:val="24"/>
        </w:rPr>
      </w:pPr>
      <w:r>
        <w:rPr>
          <w:rFonts w:cs="Arial" w:ascii="Arial" w:hAnsi="Arial"/>
          <w:b/>
          <w:bCs/>
          <w:sz w:val="24"/>
          <w:szCs w:val="24"/>
        </w:rPr>
        <w:t>Use of Artificial Intelligence-(AI)</w:t>
      </w:r>
    </w:p>
    <w:p>
      <w:pPr>
        <w:pStyle w:val="BodyText"/>
        <w:rPr>
          <w:rFonts w:ascii="Arial" w:hAnsi="Arial" w:cs="Arial"/>
          <w:b/>
          <w:bCs/>
          <w:sz w:val="24"/>
          <w:szCs w:val="24"/>
        </w:rPr>
      </w:pPr>
      <w:r>
        <w:rPr>
          <w:rFonts w:cs="Arial" w:ascii="Arial" w:hAnsi="Arial"/>
          <w:b/>
          <w:bCs/>
          <w:sz w:val="24"/>
          <w:szCs w:val="24"/>
        </w:rPr>
      </w:r>
    </w:p>
    <w:p>
      <w:pPr>
        <w:pStyle w:val="BodyText"/>
        <w:rPr>
          <w:rFonts w:ascii="Arial" w:hAnsi="Arial" w:cs="Arial"/>
          <w:b/>
          <w:bCs/>
          <w:sz w:val="24"/>
          <w:szCs w:val="24"/>
        </w:rPr>
      </w:pPr>
      <w:r>
        <w:rPr>
          <w:rFonts w:cs="Arial" w:ascii="Arial" w:hAnsi="Arial"/>
          <w:b/>
          <w:bCs/>
          <w:sz w:val="24"/>
          <w:szCs w:val="24"/>
        </w:rPr>
      </w:r>
    </w:p>
    <w:p>
      <w:pPr>
        <w:pStyle w:val="BodyText"/>
        <w:jc w:val="left"/>
        <w:rPr>
          <w:rFonts w:ascii="Arial" w:hAnsi="Arial" w:cs="Arial"/>
          <w:sz w:val="24"/>
          <w:szCs w:val="24"/>
        </w:rPr>
      </w:pPr>
      <w:r>
        <w:rPr>
          <w:rFonts w:cs="Arial" w:ascii="Arial" w:hAnsi="Arial"/>
          <w:sz w:val="24"/>
          <w:szCs w:val="24"/>
        </w:rPr>
        <w:t>If you have used AI to assist you in writing the representation or if you have used AI to summarise your response, please tick the relevant box.</w:t>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summarise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835"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7"/>
        <w:gridCol w:w="1328"/>
      </w:tblGrid>
      <w:tr>
        <w:trPr>
          <w:trHeight w:val="433" w:hRule="atLeast"/>
        </w:trPr>
        <w:tc>
          <w:tcPr>
            <w:tcW w:w="7507"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and summarise the full representation</w:t>
            </w:r>
          </w:p>
        </w:tc>
        <w:tc>
          <w:tcPr>
            <w:tcW w:w="1328" w:type="dxa"/>
            <w:tcBorders/>
          </w:tcPr>
          <w:p>
            <w:pPr>
              <w:pStyle w:val="Normal"/>
              <w:widowControl/>
              <w:spacing w:before="0" w:after="0"/>
              <w:jc w:val="left"/>
              <w:rPr>
                <w:rFonts w:ascii="Arial" w:hAnsi="Arial" w:cs="Arial"/>
              </w:rPr>
            </w:pPr>
            <w:r>
              <w:rPr>
                <w:rFonts w:cs="Arial" w:ascii="Arial" w:hAnsi="Arial"/>
                <w:sz w:val="22"/>
              </w:rPr>
              <w:t>Partially</w:t>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BodyText"/>
              <w:widowControl/>
              <w:spacing w:before="0" w:after="0"/>
              <w:rPr>
                <w:rFonts w:ascii="Arial" w:hAnsi="Arial" w:cs="Arial"/>
                <w:sz w:val="24"/>
                <w:szCs w:val="24"/>
              </w:rPr>
            </w:pPr>
            <w:r>
              <w:rPr>
                <w:rFonts w:cs="Arial" w:ascii="Arial" w:hAnsi="Arial"/>
                <w:kern w:val="0"/>
                <w:sz w:val="24"/>
                <w:szCs w:val="24"/>
                <w:lang w:val="en-GB" w:bidi="ar-SA"/>
              </w:rPr>
              <w:t>I have not used AI to in preparing my representation</w:t>
            </w:r>
          </w:p>
        </w:tc>
        <w:tc>
          <w:tcPr>
            <w:tcW w:w="856" w:type="dxa"/>
            <w:tcBorders/>
          </w:tcPr>
          <w:p>
            <w:pPr>
              <w:pStyle w:val="BodyText"/>
              <w:widowControl/>
              <w:spacing w:before="0" w:after="0"/>
              <w:rPr>
                <w:rFonts w:ascii="Arial" w:hAnsi="Arial" w:cs="Arial"/>
                <w:sz w:val="24"/>
                <w:szCs w:val="24"/>
              </w:rPr>
            </w:pPr>
            <w:r>
              <w:rPr>
                <w:rFonts w:cs="Arial" w:ascii="Arial" w:hAnsi="Arial"/>
                <w:sz w:val="24"/>
                <w:szCs w:val="24"/>
              </w:rPr>
            </w:r>
          </w:p>
        </w:tc>
      </w:tr>
    </w:tbl>
    <w:p>
      <w:pPr>
        <w:pStyle w:val="BodyText"/>
        <w:jc w:val="lef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p>
      <w:pPr>
        <w:pStyle w:val="BodyText"/>
        <w:spacing w:before="0" w:after="0"/>
        <w:jc w:val="left"/>
        <w:rPr>
          <w:rFonts w:ascii="Arial" w:hAnsi="Arial" w:cs="Arial"/>
          <w:sz w:val="24"/>
          <w:szCs w:val="24"/>
        </w:rPr>
        <w:sectPr>
          <w:type w:val="nextPage"/>
          <w:pgSz w:w="11906" w:h="16838"/>
          <w:pgMar w:left="1440" w:right="1440" w:gutter="0" w:header="0" w:top="567" w:footer="0" w:bottom="993"/>
          <w:pgNumType w:fmt="decimal"/>
          <w:formProt w:val="false"/>
          <w:textDirection w:val="lrTb"/>
          <w:docGrid w:type="default" w:linePitch="360" w:charSpace="0"/>
        </w:sectPr>
      </w:pPr>
      <w:r>
        <w:rPr>
          <w:rFonts w:cs="Arial" w:ascii="Arial" w:hAnsi="Arial"/>
          <w:sz w:val="24"/>
          <w:szCs w:val="24"/>
        </w:rPr>
        <w:tab/>
        <w:tab/>
        <w:tab/>
      </w:r>
    </w:p>
    <w:tbl>
      <w:tblPr>
        <w:tblW w:w="9023"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1631"/>
        <w:gridCol w:w="1102"/>
        <w:gridCol w:w="1718"/>
        <w:gridCol w:w="1136"/>
        <w:gridCol w:w="1874"/>
        <w:gridCol w:w="1072"/>
        <w:gridCol w:w="490"/>
      </w:tblGrid>
      <w:tr>
        <w:trPr>
          <w:trHeight w:val="180" w:hRule="atLeast"/>
          <w:cantSplit/>
        </w:trPr>
        <w:tc>
          <w:tcPr>
            <w:tcW w:w="9023" w:type="dxa"/>
            <w:gridSpan w:val="7"/>
            <w:tcBorders/>
            <w:vAlign w:val="bottom"/>
          </w:tcPr>
          <w:p>
            <w:pPr>
              <w:pStyle w:val="BodyText"/>
              <w:rPr>
                <w:rFonts w:ascii="Arial" w:hAnsi="Arial" w:cs="Arial"/>
                <w:b/>
                <w:sz w:val="24"/>
                <w:szCs w:val="24"/>
              </w:rPr>
            </w:pPr>
            <w:r>
              <w:rPr>
                <w:rFonts w:cs="Arial" w:ascii="Arial" w:hAnsi="Arial"/>
                <w:b/>
                <w:sz w:val="24"/>
                <w:szCs w:val="24"/>
              </w:rPr>
              <w:t>Part B – Please use a separate sheet for each representation</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double" w:sz="4" w:space="0" w:color="000000"/>
              <w:bottom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Name and (where relevant) organisation (to match Part A):</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232" w:hRule="atLeast"/>
          <w:cantSplit/>
        </w:trPr>
        <w:tc>
          <w:tcPr>
            <w:tcW w:w="9023" w:type="dxa"/>
            <w:gridSpan w:val="7"/>
            <w:tcBorders>
              <w:top w:val="single" w:sz="4" w:space="0" w:color="000000"/>
            </w:tcBorders>
          </w:tcPr>
          <w:p>
            <w:pPr>
              <w:pStyle w:val="Normal"/>
              <w:rPr>
                <w:rFonts w:ascii="Arial" w:hAnsi="Arial" w:cs="Arial"/>
                <w:bCs/>
              </w:rPr>
            </w:pPr>
            <w:r>
              <w:rPr>
                <w:rFonts w:cs="Arial" w:ascii="Arial" w:hAnsi="Arial"/>
                <w:bCs/>
              </w:rPr>
            </w:r>
          </w:p>
          <w:p>
            <w:pPr>
              <w:pStyle w:val="Normal"/>
              <w:rPr>
                <w:rFonts w:ascii="Arial" w:hAnsi="Arial" w:cs="Arial"/>
              </w:rPr>
            </w:pPr>
            <w:r>
              <w:rPr>
                <w:rFonts w:cs="Arial" w:ascii="Arial" w:hAnsi="Arial"/>
                <w:bCs/>
              </w:rPr>
              <w:t>1. To which part of the Local Plan or submission documents does this representation relate?</w:t>
            </w:r>
          </w:p>
        </w:tc>
      </w:tr>
      <w:tr>
        <w:trPr>
          <w:trHeight w:val="405" w:hRule="atLeast"/>
          <w:cantSplit/>
        </w:trPr>
        <w:tc>
          <w:tcPr>
            <w:tcW w:w="9023" w:type="dxa"/>
            <w:gridSpan w:val="7"/>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mark the appropriate box</w:t>
            </w:r>
          </w:p>
        </w:tc>
      </w:tr>
      <w:tr>
        <w:trPr>
          <w:trHeight w:val="232" w:hRule="atLeast"/>
          <w:cantSplit/>
        </w:trPr>
        <w:tc>
          <w:tcPr>
            <w:tcW w:w="9023" w:type="dxa"/>
            <w:gridSpan w:val="7"/>
            <w:tcBorders/>
          </w:tcPr>
          <w:p>
            <w:pPr>
              <w:pStyle w:val="Normal"/>
              <w:rPr>
                <w:rFonts w:ascii="Arial" w:hAnsi="Arial" w:cs="Arial"/>
              </w:rPr>
            </w:pPr>
            <w:r>
              <w:rPr>
                <w:rFonts w:cs="Arial" w:ascii="Arial" w:hAnsi="Arial"/>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Paragraph</w:t>
            </w:r>
          </w:p>
          <w:p>
            <w:pPr>
              <w:pStyle w:val="Normal"/>
              <w:rPr>
                <w:rFonts w:ascii="Arial" w:hAnsi="Arial" w:cs="Arial"/>
              </w:rPr>
            </w:pPr>
            <w:r>
              <w:rPr>
                <w:rFonts w:cs="Arial" w:ascii="Arial" w:hAnsi="Arial"/>
              </w:rPr>
              <w:t>e.g. ‘4.35’</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8.2 LMA</w:t>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Policy</w:t>
            </w:r>
          </w:p>
          <w:p>
            <w:pPr>
              <w:pStyle w:val="Normal"/>
              <w:jc w:val="right"/>
              <w:rPr>
                <w:rFonts w:ascii="Arial" w:hAnsi="Arial" w:cs="Arial"/>
              </w:rPr>
            </w:pPr>
            <w:r>
              <w:rPr>
                <w:rFonts w:cs="Arial" w:ascii="Arial" w:hAnsi="Arial"/>
              </w:rPr>
              <w:t>e.g.</w:t>
            </w:r>
          </w:p>
          <w:p>
            <w:pPr>
              <w:pStyle w:val="Normal"/>
              <w:jc w:val="right"/>
              <w:rPr>
                <w:rFonts w:ascii="Arial" w:hAnsi="Arial" w:cs="Arial"/>
              </w:rPr>
            </w:pPr>
            <w:r>
              <w:rPr>
                <w:rFonts w:cs="Arial" w:ascii="Arial" w:hAnsi="Arial"/>
              </w:rPr>
              <w:t>‘</w:t>
            </w:r>
            <w:r>
              <w:rPr>
                <w:rFonts w:cs="Arial" w:ascii="Arial" w:hAnsi="Arial"/>
              </w:rPr>
              <w:t>Policy ID.1’</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ID.1 ID,2 ID.18</w:t>
            </w:r>
          </w:p>
          <w:p>
            <w:pPr>
              <w:pStyle w:val="Normal"/>
              <w:rPr>
                <w:rFonts w:ascii="Arial" w:hAnsi="Arial" w:cs="Arial"/>
              </w:rPr>
            </w:pPr>
            <w:r>
              <w:rPr>
                <w:rFonts w:cs="Arial" w:ascii="Arial" w:hAnsi="Arial"/>
              </w:rPr>
            </w:r>
          </w:p>
        </w:tc>
        <w:tc>
          <w:tcPr>
            <w:tcW w:w="1874"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Policies Map</w:t>
            </w:r>
          </w:p>
        </w:tc>
        <w:tc>
          <w:tcPr>
            <w:tcW w:w="107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op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Sustainability</w:t>
            </w:r>
          </w:p>
          <w:p>
            <w:pPr>
              <w:pStyle w:val="Normal"/>
              <w:rPr>
                <w:rFonts w:ascii="Arial" w:hAnsi="Arial" w:cs="Arial"/>
              </w:rPr>
            </w:pPr>
            <w:r>
              <w:rPr>
                <w:rFonts w:cs="Arial" w:ascii="Arial" w:hAnsi="Arial"/>
              </w:rPr>
              <w:t>Appraisal</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Habitats</w:t>
            </w:r>
          </w:p>
          <w:p>
            <w:pPr>
              <w:pStyle w:val="Normal"/>
              <w:jc w:val="right"/>
              <w:rPr>
                <w:rFonts w:ascii="Arial" w:hAnsi="Arial" w:cs="Arial"/>
              </w:rPr>
            </w:pPr>
            <w:r>
              <w:rPr>
                <w:rFonts w:cs="Arial" w:ascii="Arial" w:hAnsi="Arial"/>
              </w:rPr>
              <w:t>Regulations</w:t>
            </w:r>
          </w:p>
          <w:p>
            <w:pPr>
              <w:pStyle w:val="Normal"/>
              <w:jc w:val="right"/>
              <w:rPr>
                <w:rFonts w:ascii="Arial" w:hAnsi="Arial" w:cs="Arial"/>
              </w:rPr>
            </w:pPr>
            <w:r>
              <w:rPr>
                <w:rFonts w:cs="Arial" w:ascii="Arial" w:hAnsi="Arial"/>
              </w:rPr>
              <w:t>Assessment</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201"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300" w:hRule="atLeast"/>
          <w:cantSplit/>
        </w:trPr>
        <w:tc>
          <w:tcPr>
            <w:tcW w:w="9023" w:type="dxa"/>
            <w:gridSpan w:val="7"/>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2. Do you consider the Local Plan is:</w:t>
            </w:r>
          </w:p>
          <w:p>
            <w:pPr>
              <w:pStyle w:val="Normal"/>
              <w:rPr>
                <w:rFonts w:ascii="Arial" w:hAnsi="Arial" w:cs="Arial"/>
              </w:rPr>
            </w:pPr>
            <w:r>
              <w:rPr>
                <w:rFonts w:cs="Arial" w:ascii="Arial" w:hAnsi="Arial"/>
              </w:rPr>
            </w:r>
          </w:p>
          <w:tbl>
            <w:tblPr>
              <w:tblStyle w:val="TableGrid"/>
              <w:tblW w:w="8542"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4710"/>
              <w:gridCol w:w="849"/>
              <w:gridCol w:w="994"/>
              <w:gridCol w:w="992"/>
              <w:gridCol w:w="997"/>
            </w:tblGrid>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2.1 Legally compliant</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single" w:sz="8" w:space="0" w:color="000000"/>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2.2 Sound</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top w:val="single" w:sz="8" w:space="0" w:color="000000"/>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t>X</w:t>
                  </w:r>
                </w:p>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bl>
          <w:p>
            <w:pPr>
              <w:pStyle w:val="Normal"/>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8568"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233"/>
        <w:gridCol w:w="1027"/>
        <w:gridCol w:w="3777"/>
        <w:gridCol w:w="1045"/>
        <w:gridCol w:w="2486"/>
      </w:tblGrid>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3. Please give details of why you consider the Local Plan is not legally compliant or is not sound. Please provide the response in 500 words.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If you wish to support the legal compliance or soundness of the Local Plan, please also use this box to set out your comments.</w:t>
            </w:r>
          </w:p>
          <w:p>
            <w:pPr>
              <w:pStyle w:val="Normal"/>
              <w:rPr>
                <w:rFonts w:ascii="Arial" w:hAnsi="Arial" w:cs="Arial"/>
              </w:rPr>
            </w:pPr>
            <w:r>
              <w:rPr>
                <w:rFonts w:cs="Arial" w:ascii="Arial" w:hAnsi="Arial"/>
              </w:rPr>
            </w:r>
          </w:p>
        </w:tc>
      </w:tr>
      <w:tr>
        <w:trPr>
          <w:trHeight w:val="2078"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Regulation 19 Representation – Education Provision Unsoundness (Proposal LMA)</w:t>
            </w:r>
          </w:p>
          <w:p>
            <w:pPr>
              <w:pStyle w:val="NormalWeb"/>
              <w:bidi w:val="0"/>
              <w:spacing w:before="100" w:after="100"/>
              <w:rPr>
                <w:rFonts w:ascii="Times New Roman" w:hAnsi="Times New Roman"/>
              </w:rPr>
            </w:pPr>
            <w:r>
              <w:rPr>
                <w:rStyle w:val="Strong"/>
                <w:lang w:val="en-GB" w:eastAsia="en-GB" w:bidi="ar-SA"/>
              </w:rPr>
              <w:t>Tests of Soundness: Not Justified • Not Effective • Not Consistent with National Policy (NPPF §§31, 35, 104–110, §8)</w:t>
            </w:r>
            <w:r>
              <w:rPr/>
              <w:t xml:space="preserve"> Ref: </w:t>
            </w:r>
            <w:r>
              <w:rPr>
                <w:rStyle w:val="Emphasis"/>
                <w:lang w:val="en-GB" w:eastAsia="en-GB" w:bidi="ar-SA"/>
              </w:rPr>
              <w:t>SWLP Reg 19 Publication Version</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1. Summary of Representation</w:t>
            </w:r>
          </w:p>
          <w:p>
            <w:pPr>
              <w:pStyle w:val="NormalWeb"/>
              <w:bidi w:val="0"/>
              <w:spacing w:before="100" w:after="100"/>
              <w:rPr>
                <w:rFonts w:ascii="Times New Roman" w:hAnsi="Times New Roman"/>
              </w:rPr>
            </w:pPr>
            <w:r>
              <w:rPr/>
              <w:t xml:space="preserve">I object to </w:t>
            </w:r>
            <w:r>
              <w:rPr>
                <w:rStyle w:val="Strong"/>
                <w:lang w:val="en-GB" w:eastAsia="en-GB" w:bidi="ar-SA"/>
              </w:rPr>
              <w:t>Proposal LMA – Long Marston Airfield New Community</w:t>
            </w:r>
            <w:r>
              <w:rPr/>
              <w:t xml:space="preserve"> because the SWLP Reg 19 Publication Version provides </w:t>
            </w:r>
            <w:r>
              <w:rPr>
                <w:rStyle w:val="Strong"/>
                <w:lang w:val="en-GB" w:eastAsia="en-GB" w:bidi="ar-SA"/>
              </w:rPr>
              <w:t>no credible evidence</w:t>
            </w:r>
            <w:r>
              <w:rPr/>
              <w:t xml:space="preserve"> that education provision for a 4,000+ home settlement is:</w:t>
            </w:r>
          </w:p>
          <w:p>
            <w:pPr>
              <w:pStyle w:val="NormalWeb"/>
              <w:numPr>
                <w:ilvl w:val="0"/>
                <w:numId w:val="11"/>
              </w:numPr>
              <w:tabs>
                <w:tab w:val="left" w:pos="720" w:leader="none"/>
              </w:tabs>
              <w:bidi w:val="0"/>
              <w:spacing w:before="100" w:after="0"/>
              <w:rPr/>
            </w:pPr>
            <w:r>
              <w:rPr/>
              <w:t>deliverable,</w:t>
            </w:r>
          </w:p>
          <w:p>
            <w:pPr>
              <w:pStyle w:val="NormalWeb"/>
              <w:numPr>
                <w:ilvl w:val="0"/>
                <w:numId w:val="11"/>
              </w:numPr>
              <w:tabs>
                <w:tab w:val="left" w:pos="720" w:leader="none"/>
              </w:tabs>
              <w:bidi w:val="0"/>
              <w:spacing w:before="0" w:after="0"/>
              <w:rPr/>
            </w:pPr>
            <w:r>
              <w:rPr/>
              <w:t>fundable,</w:t>
            </w:r>
          </w:p>
          <w:p>
            <w:pPr>
              <w:pStyle w:val="NormalWeb"/>
              <w:numPr>
                <w:ilvl w:val="0"/>
                <w:numId w:val="11"/>
              </w:numPr>
              <w:tabs>
                <w:tab w:val="left" w:pos="720" w:leader="none"/>
              </w:tabs>
              <w:bidi w:val="0"/>
              <w:spacing w:before="0" w:after="0"/>
              <w:rPr/>
            </w:pPr>
            <w:r>
              <w:rPr/>
              <w:t>phased,</w:t>
            </w:r>
          </w:p>
          <w:p>
            <w:pPr>
              <w:pStyle w:val="NormalWeb"/>
              <w:numPr>
                <w:ilvl w:val="0"/>
                <w:numId w:val="11"/>
              </w:numPr>
              <w:tabs>
                <w:tab w:val="left" w:pos="720" w:leader="none"/>
              </w:tabs>
              <w:bidi w:val="0"/>
              <w:spacing w:before="0" w:after="0"/>
              <w:rPr/>
            </w:pPr>
            <w:r>
              <w:rPr/>
              <w:t>accessible,</w:t>
            </w:r>
          </w:p>
          <w:p>
            <w:pPr>
              <w:pStyle w:val="NormalWeb"/>
              <w:numPr>
                <w:ilvl w:val="0"/>
                <w:numId w:val="11"/>
              </w:numPr>
              <w:tabs>
                <w:tab w:val="left" w:pos="720" w:leader="none"/>
              </w:tabs>
              <w:bidi w:val="0"/>
              <w:spacing w:before="0" w:after="0"/>
              <w:rPr/>
            </w:pPr>
            <w:r>
              <w:rPr/>
              <w:t>sustainable, or</w:t>
            </w:r>
          </w:p>
          <w:p>
            <w:pPr>
              <w:pStyle w:val="NormalWeb"/>
              <w:numPr>
                <w:ilvl w:val="0"/>
                <w:numId w:val="11"/>
              </w:numPr>
              <w:tabs>
                <w:tab w:val="left" w:pos="720" w:leader="none"/>
              </w:tabs>
              <w:bidi w:val="0"/>
              <w:spacing w:before="0" w:after="100"/>
              <w:rPr>
                <w:rFonts w:ascii="Times New Roman" w:hAnsi="Times New Roman"/>
              </w:rPr>
            </w:pPr>
            <w:r>
              <w:rPr/>
              <w:t>coordinated with cross</w:t>
              <w:noBreakHyphen/>
              <w:t>border growth in Mickleton.</w:t>
            </w:r>
          </w:p>
          <w:p>
            <w:pPr>
              <w:pStyle w:val="NormalWeb"/>
              <w:bidi w:val="0"/>
              <w:spacing w:before="100" w:after="100"/>
              <w:rPr>
                <w:rFonts w:ascii="Times New Roman" w:hAnsi="Times New Roman"/>
              </w:rPr>
            </w:pPr>
            <w:r>
              <w:rPr/>
              <w:t xml:space="preserve">The plan contains </w:t>
            </w:r>
            <w:r>
              <w:rPr>
                <w:rStyle w:val="Strong"/>
                <w:lang w:val="en-GB" w:eastAsia="en-GB" w:bidi="ar-SA"/>
              </w:rPr>
              <w:t>no pupil yield modelling</w:t>
            </w:r>
            <w:r>
              <w:rPr/>
              <w:t xml:space="preserve">, </w:t>
            </w:r>
            <w:r>
              <w:rPr>
                <w:rStyle w:val="Strong"/>
                <w:lang w:val="en-GB" w:eastAsia="en-GB" w:bidi="ar-SA"/>
              </w:rPr>
              <w:t>unclear primary school land allocations</w:t>
            </w:r>
            <w:r>
              <w:rPr/>
              <w:t xml:space="preserve">, </w:t>
            </w:r>
            <w:r>
              <w:rPr>
                <w:rStyle w:val="Strong"/>
                <w:lang w:val="en-GB" w:eastAsia="en-GB" w:bidi="ar-SA"/>
              </w:rPr>
              <w:t>unclear secondary school strategy</w:t>
            </w:r>
            <w:r>
              <w:rPr/>
              <w:t xml:space="preserve">, </w:t>
            </w:r>
            <w:r>
              <w:rPr>
                <w:rStyle w:val="Strong"/>
                <w:lang w:val="en-GB" w:eastAsia="en-GB" w:bidi="ar-SA"/>
              </w:rPr>
              <w:t>no safe routes to school assessment</w:t>
            </w:r>
            <w:r>
              <w:rPr/>
              <w:t xml:space="preserve">, and </w:t>
            </w:r>
            <w:r>
              <w:rPr>
                <w:rStyle w:val="Strong"/>
                <w:lang w:val="en-GB" w:eastAsia="en-GB" w:bidi="ar-SA"/>
              </w:rPr>
              <w:t>no cross</w:t>
              <w:noBreakHyphen/>
              <w:t>border cooperation</w:t>
            </w:r>
            <w:r>
              <w:rPr/>
              <w:t xml:space="preserve"> with Gloucestershire.</w:t>
            </w:r>
          </w:p>
          <w:p>
            <w:pPr>
              <w:pStyle w:val="NormalWeb"/>
              <w:bidi w:val="0"/>
              <w:spacing w:before="100" w:after="100"/>
              <w:rPr>
                <w:rFonts w:ascii="Times New Roman" w:hAnsi="Times New Roman"/>
              </w:rPr>
            </w:pPr>
            <w:r>
              <w:rPr/>
              <w:t xml:space="preserve">This renders the allocation </w:t>
            </w:r>
            <w:r>
              <w:rPr>
                <w:rStyle w:val="Strong"/>
                <w:lang w:val="en-GB" w:eastAsia="en-GB" w:bidi="ar-SA"/>
              </w:rPr>
              <w:t>unsound</w:t>
            </w:r>
            <w:r>
              <w:rPr/>
              <w:t>.</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2. What the SWLP requires for education (ID.1, ID.2, ID.18)</w:t>
            </w:r>
          </w:p>
          <w:p>
            <w:pPr>
              <w:pStyle w:val="NormalWeb"/>
              <w:bidi w:val="0"/>
              <w:spacing w:before="100" w:after="100"/>
              <w:rPr>
                <w:rFonts w:ascii="Times New Roman" w:hAnsi="Times New Roman"/>
              </w:rPr>
            </w:pPr>
            <w:r>
              <w:rPr/>
              <w:t>The Reg 19 document requires that:</w:t>
            </w:r>
          </w:p>
          <w:p>
            <w:pPr>
              <w:pStyle w:val="NormalWeb"/>
              <w:numPr>
                <w:ilvl w:val="0"/>
                <w:numId w:val="12"/>
              </w:numPr>
              <w:tabs>
                <w:tab w:val="left" w:pos="720" w:leader="none"/>
              </w:tabs>
              <w:bidi w:val="0"/>
              <w:spacing w:before="100" w:after="0"/>
              <w:rPr/>
            </w:pPr>
            <w:r>
              <w:rPr/>
              <w:t xml:space="preserve">New settlements must provide </w:t>
            </w:r>
            <w:r>
              <w:rPr>
                <w:rStyle w:val="Strong"/>
                <w:lang w:val="en-GB" w:eastAsia="en-GB" w:bidi="ar-SA"/>
              </w:rPr>
              <w:t>sufficient education infrastructure</w:t>
            </w:r>
            <w:r>
              <w:rPr/>
              <w:t>.</w:t>
            </w:r>
          </w:p>
          <w:p>
            <w:pPr>
              <w:pStyle w:val="NormalWeb"/>
              <w:numPr>
                <w:ilvl w:val="0"/>
                <w:numId w:val="12"/>
              </w:numPr>
              <w:tabs>
                <w:tab w:val="left" w:pos="720" w:leader="none"/>
              </w:tabs>
              <w:bidi w:val="0"/>
              <w:spacing w:before="0" w:after="0"/>
              <w:rPr/>
            </w:pPr>
            <w:r>
              <w:rPr/>
              <w:t xml:space="preserve">Schools must be delivered </w:t>
            </w:r>
            <w:r>
              <w:rPr>
                <w:rStyle w:val="Strong"/>
                <w:lang w:val="en-GB" w:eastAsia="en-GB" w:bidi="ar-SA"/>
              </w:rPr>
              <w:t>“in the right place at the right time”</w:t>
            </w:r>
            <w:r>
              <w:rPr/>
              <w:t>.</w:t>
            </w:r>
          </w:p>
          <w:p>
            <w:pPr>
              <w:pStyle w:val="NormalWeb"/>
              <w:numPr>
                <w:ilvl w:val="0"/>
                <w:numId w:val="12"/>
              </w:numPr>
              <w:tabs>
                <w:tab w:val="left" w:pos="720" w:leader="none"/>
              </w:tabs>
              <w:bidi w:val="0"/>
              <w:spacing w:before="0" w:after="0"/>
              <w:rPr/>
            </w:pPr>
            <w:r>
              <w:rPr/>
              <w:t xml:space="preserve">Infrastructure must be </w:t>
            </w:r>
            <w:r>
              <w:rPr>
                <w:rStyle w:val="Strong"/>
                <w:lang w:val="en-GB" w:eastAsia="en-GB" w:bidi="ar-SA"/>
              </w:rPr>
              <w:t>funded</w:t>
            </w:r>
            <w:r>
              <w:rPr/>
              <w:t xml:space="preserve">, </w:t>
            </w:r>
            <w:r>
              <w:rPr>
                <w:rStyle w:val="Strong"/>
                <w:lang w:val="en-GB" w:eastAsia="en-GB" w:bidi="ar-SA"/>
              </w:rPr>
              <w:t>phased</w:t>
            </w:r>
            <w:r>
              <w:rPr/>
              <w:t xml:space="preserve">, and </w:t>
            </w:r>
            <w:r>
              <w:rPr>
                <w:rStyle w:val="Strong"/>
                <w:lang w:val="en-GB" w:eastAsia="en-GB" w:bidi="ar-SA"/>
              </w:rPr>
              <w:t>deliverable</w:t>
            </w:r>
            <w:r>
              <w:rPr/>
              <w:t>.</w:t>
            </w:r>
          </w:p>
          <w:p>
            <w:pPr>
              <w:pStyle w:val="NormalWeb"/>
              <w:numPr>
                <w:ilvl w:val="0"/>
                <w:numId w:val="12"/>
              </w:numPr>
              <w:tabs>
                <w:tab w:val="left" w:pos="720" w:leader="none"/>
              </w:tabs>
              <w:bidi w:val="0"/>
              <w:spacing w:before="0" w:after="100"/>
              <w:rPr>
                <w:rFonts w:ascii="Times New Roman" w:hAnsi="Times New Roman"/>
              </w:rPr>
            </w:pPr>
            <w:r>
              <w:rPr/>
              <w:t>Cross</w:t>
              <w:noBreakHyphen/>
              <w:t>boundary impacts must be addressed.</w:t>
            </w:r>
          </w:p>
          <w:p>
            <w:pPr>
              <w:pStyle w:val="NormalWeb"/>
              <w:bidi w:val="0"/>
              <w:spacing w:before="100" w:after="100"/>
              <w:rPr>
                <w:rFonts w:ascii="Times New Roman" w:hAnsi="Times New Roman"/>
              </w:rPr>
            </w:pPr>
            <w:r>
              <w:rPr>
                <w:rStyle w:val="Strong"/>
                <w:lang w:val="en-GB" w:eastAsia="en-GB" w:bidi="ar-SA"/>
              </w:rPr>
              <w:t>None of these requirements are met for LMA.</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 What the LMA allocation actually says</w:t>
            </w:r>
          </w:p>
          <w:p>
            <w:pPr>
              <w:pStyle w:val="NormalWeb"/>
              <w:bidi w:val="0"/>
              <w:spacing w:before="100" w:after="100"/>
              <w:rPr>
                <w:rFonts w:ascii="Times New Roman" w:hAnsi="Times New Roman"/>
              </w:rPr>
            </w:pPr>
            <w:r>
              <w:rPr/>
              <w:t xml:space="preserve">Proposal LMA (Section 8.2) mentions education only in </w:t>
            </w:r>
            <w:r>
              <w:rPr>
                <w:rStyle w:val="Strong"/>
                <w:lang w:val="en-GB" w:eastAsia="en-GB" w:bidi="ar-SA"/>
              </w:rPr>
              <w:t>vague, non</w:t>
              <w:noBreakHyphen/>
              <w:t>committal terms</w:t>
            </w:r>
            <w:r>
              <w:rPr/>
              <w:t>. It recommits to a primary school associated with the initially planned LM phases 1a and 1b, but there is no sign of this being built.  Evidence that the mechanisms to tie phasing to development and provide infrastructure early do not work.</w:t>
            </w:r>
          </w:p>
          <w:p>
            <w:pPr>
              <w:pStyle w:val="NormalWeb"/>
              <w:bidi w:val="0"/>
              <w:spacing w:before="100" w:after="100"/>
              <w:rPr>
                <w:rFonts w:ascii="Times New Roman" w:hAnsi="Times New Roman"/>
              </w:rPr>
            </w:pPr>
            <w:r>
              <w:rPr/>
              <w:t xml:space="preserve">It does </w:t>
            </w:r>
            <w:r>
              <w:rPr>
                <w:rStyle w:val="Strong"/>
                <w:lang w:val="en-GB" w:eastAsia="en-GB" w:bidi="ar-SA"/>
              </w:rPr>
              <w:t>not</w:t>
            </w:r>
            <w:r>
              <w:rPr/>
              <w:t xml:space="preserve"> specify:</w:t>
            </w:r>
          </w:p>
          <w:p>
            <w:pPr>
              <w:pStyle w:val="NormalWeb"/>
              <w:numPr>
                <w:ilvl w:val="0"/>
                <w:numId w:val="3"/>
              </w:numPr>
              <w:tabs>
                <w:tab w:val="left" w:pos="720" w:leader="none"/>
              </w:tabs>
              <w:bidi w:val="0"/>
              <w:spacing w:before="100" w:after="0"/>
              <w:ind w:hanging="360" w:left="720" w:right="0"/>
              <w:rPr>
                <w:rFonts w:ascii="Times New Roman" w:hAnsi="Times New Roman"/>
              </w:rPr>
            </w:pPr>
            <w:r>
              <w:rPr/>
              <w:t>Clearly defined land areas for schools,</w:t>
            </w:r>
          </w:p>
          <w:p>
            <w:pPr>
              <w:pStyle w:val="NormalWeb"/>
              <w:numPr>
                <w:ilvl w:val="0"/>
                <w:numId w:val="3"/>
              </w:numPr>
              <w:tabs>
                <w:tab w:val="left" w:pos="720" w:leader="none"/>
              </w:tabs>
              <w:bidi w:val="0"/>
              <w:spacing w:before="0" w:after="0"/>
              <w:ind w:hanging="360" w:left="720" w:right="0"/>
              <w:rPr>
                <w:rFonts w:ascii="Times New Roman" w:hAnsi="Times New Roman"/>
              </w:rPr>
            </w:pPr>
            <w:r>
              <w:rPr/>
              <w:t>delivery partners,</w:t>
            </w:r>
          </w:p>
          <w:p>
            <w:pPr>
              <w:pStyle w:val="NormalWeb"/>
              <w:numPr>
                <w:ilvl w:val="0"/>
                <w:numId w:val="3"/>
              </w:numPr>
              <w:tabs>
                <w:tab w:val="left" w:pos="720" w:leader="none"/>
              </w:tabs>
              <w:bidi w:val="0"/>
              <w:spacing w:before="0" w:after="0"/>
              <w:ind w:hanging="360" w:left="720" w:right="0"/>
              <w:rPr>
                <w:rFonts w:ascii="Times New Roman" w:hAnsi="Times New Roman"/>
              </w:rPr>
            </w:pPr>
            <w:r>
              <w:rPr/>
              <w:t>funding mechanisms,</w:t>
            </w:r>
          </w:p>
          <w:p>
            <w:pPr>
              <w:pStyle w:val="NormalWeb"/>
              <w:numPr>
                <w:ilvl w:val="0"/>
                <w:numId w:val="3"/>
              </w:numPr>
              <w:tabs>
                <w:tab w:val="left" w:pos="720" w:leader="none"/>
              </w:tabs>
              <w:bidi w:val="0"/>
              <w:spacing w:before="0" w:after="0"/>
              <w:ind w:hanging="360" w:left="720" w:right="0"/>
              <w:rPr>
                <w:rFonts w:ascii="Times New Roman" w:hAnsi="Times New Roman"/>
              </w:rPr>
            </w:pPr>
            <w:r>
              <w:rPr/>
              <w:t>phasing triggers,</w:t>
            </w:r>
          </w:p>
          <w:p>
            <w:pPr>
              <w:pStyle w:val="NormalWeb"/>
              <w:numPr>
                <w:ilvl w:val="0"/>
                <w:numId w:val="3"/>
              </w:numPr>
              <w:tabs>
                <w:tab w:val="left" w:pos="720" w:leader="none"/>
              </w:tabs>
              <w:bidi w:val="0"/>
              <w:spacing w:before="0" w:after="0"/>
              <w:ind w:hanging="360" w:left="720" w:right="0"/>
              <w:rPr>
                <w:rFonts w:ascii="Times New Roman" w:hAnsi="Times New Roman"/>
              </w:rPr>
            </w:pPr>
            <w:r>
              <w:rPr/>
              <w:t>pupil yield assumptions,</w:t>
            </w:r>
          </w:p>
          <w:p>
            <w:pPr>
              <w:pStyle w:val="NormalWeb"/>
              <w:numPr>
                <w:ilvl w:val="0"/>
                <w:numId w:val="3"/>
              </w:numPr>
              <w:tabs>
                <w:tab w:val="left" w:pos="720" w:leader="none"/>
              </w:tabs>
              <w:bidi w:val="0"/>
              <w:spacing w:before="0" w:after="100"/>
              <w:ind w:hanging="360" w:left="720" w:right="0"/>
              <w:rPr>
                <w:rFonts w:ascii="Times New Roman" w:hAnsi="Times New Roman"/>
              </w:rPr>
            </w:pPr>
            <w:r>
              <w:rPr/>
              <w:t>cross</w:t>
              <w:noBreakHyphen/>
              <w:t>border impacts on Mickleton or Chipping Campden School.</w:t>
            </w:r>
          </w:p>
          <w:p>
            <w:pPr>
              <w:pStyle w:val="NormalWeb"/>
              <w:bidi w:val="0"/>
              <w:spacing w:before="100" w:after="100"/>
              <w:rPr>
                <w:rFonts w:ascii="Times New Roman" w:hAnsi="Times New Roman"/>
              </w:rPr>
            </w:pPr>
            <w:r>
              <w:rPr/>
              <w:t>This is a major evidence gap.</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 Map</w:t>
              <w:noBreakHyphen/>
              <w:t>Based Reality: LMA Sits in an Education Black Spot</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4.1 Local primary schools are small, rural, and full</w:t>
            </w:r>
          </w:p>
          <w:p>
            <w:pPr>
              <w:pStyle w:val="NormalWeb"/>
              <w:bidi w:val="0"/>
              <w:spacing w:before="100" w:after="100"/>
              <w:rPr>
                <w:rFonts w:ascii="Times New Roman" w:hAnsi="Times New Roman"/>
              </w:rPr>
            </w:pPr>
            <w:r>
              <w:rPr/>
              <w:t>Within the LMA catchment:</w:t>
            </w:r>
          </w:p>
          <w:p>
            <w:pPr>
              <w:pStyle w:val="NormalWeb"/>
              <w:numPr>
                <w:ilvl w:val="0"/>
                <w:numId w:val="4"/>
              </w:numPr>
              <w:tabs>
                <w:tab w:val="left" w:pos="720" w:leader="none"/>
              </w:tabs>
              <w:bidi w:val="0"/>
              <w:spacing w:before="100" w:after="0"/>
              <w:ind w:hanging="360" w:left="720" w:right="0"/>
              <w:rPr>
                <w:rFonts w:ascii="Times New Roman" w:hAnsi="Times New Roman"/>
              </w:rPr>
            </w:pPr>
            <w:r>
              <w:rPr>
                <w:rStyle w:val="Strong"/>
                <w:lang w:val="en-GB" w:eastAsia="en-GB" w:bidi="ar-SA"/>
              </w:rPr>
              <w:t>Quinton Primary</w:t>
            </w:r>
            <w:r>
              <w:rPr/>
              <w:t xml:space="preserve"> – small, constrained</w:t>
            </w:r>
          </w:p>
          <w:p>
            <w:pPr>
              <w:pStyle w:val="NormalWeb"/>
              <w:numPr>
                <w:ilvl w:val="0"/>
                <w:numId w:val="4"/>
              </w:numPr>
              <w:tabs>
                <w:tab w:val="left" w:pos="720" w:leader="none"/>
              </w:tabs>
              <w:bidi w:val="0"/>
              <w:spacing w:before="0" w:after="0"/>
              <w:ind w:hanging="360" w:left="720" w:right="0"/>
              <w:rPr>
                <w:rFonts w:ascii="Times New Roman" w:hAnsi="Times New Roman"/>
              </w:rPr>
            </w:pPr>
            <w:r>
              <w:rPr>
                <w:rStyle w:val="Strong"/>
                <w:lang w:val="en-GB" w:eastAsia="en-GB" w:bidi="ar-SA"/>
              </w:rPr>
              <w:t>Welford Primary</w:t>
            </w:r>
            <w:r>
              <w:rPr/>
              <w:t xml:space="preserve"> – small, constrained</w:t>
            </w:r>
          </w:p>
          <w:p>
            <w:pPr>
              <w:pStyle w:val="NormalWeb"/>
              <w:numPr>
                <w:ilvl w:val="0"/>
                <w:numId w:val="4"/>
              </w:numPr>
              <w:tabs>
                <w:tab w:val="left" w:pos="720" w:leader="none"/>
              </w:tabs>
              <w:bidi w:val="0"/>
              <w:spacing w:before="0" w:after="0"/>
              <w:ind w:hanging="360" w:left="720" w:right="0"/>
              <w:rPr>
                <w:rFonts w:ascii="Times New Roman" w:hAnsi="Times New Roman"/>
              </w:rPr>
            </w:pPr>
            <w:r>
              <w:rPr>
                <w:rStyle w:val="Strong"/>
                <w:lang w:val="en-GB" w:eastAsia="en-GB" w:bidi="ar-SA"/>
              </w:rPr>
              <w:t>Long Marston Primary (Meon Vale)</w:t>
            </w:r>
            <w:r>
              <w:rPr/>
              <w:t xml:space="preserve"> – already pressured by Meon Vale</w:t>
            </w:r>
          </w:p>
          <w:p>
            <w:pPr>
              <w:pStyle w:val="NormalWeb"/>
              <w:numPr>
                <w:ilvl w:val="0"/>
                <w:numId w:val="4"/>
              </w:numPr>
              <w:tabs>
                <w:tab w:val="left" w:pos="720" w:leader="none"/>
              </w:tabs>
              <w:bidi w:val="0"/>
              <w:spacing w:before="0" w:after="0"/>
              <w:ind w:hanging="360" w:left="720" w:right="0"/>
              <w:rPr>
                <w:rFonts w:ascii="Times New Roman" w:hAnsi="Times New Roman"/>
              </w:rPr>
            </w:pPr>
            <w:r>
              <w:rPr>
                <w:rStyle w:val="Strong"/>
                <w:lang w:val="en-GB" w:eastAsia="en-GB" w:bidi="ar-SA"/>
              </w:rPr>
              <w:t>Ettington Primary</w:t>
            </w:r>
            <w:r>
              <w:rPr/>
              <w:t xml:space="preserve"> – full</w:t>
            </w:r>
          </w:p>
          <w:p>
            <w:pPr>
              <w:pStyle w:val="NormalWeb"/>
              <w:numPr>
                <w:ilvl w:val="0"/>
                <w:numId w:val="4"/>
              </w:numPr>
              <w:tabs>
                <w:tab w:val="left" w:pos="720" w:leader="none"/>
              </w:tabs>
              <w:bidi w:val="0"/>
              <w:spacing w:before="0" w:after="100"/>
              <w:ind w:hanging="360" w:left="720" w:right="0"/>
              <w:rPr>
                <w:rFonts w:ascii="Times New Roman" w:hAnsi="Times New Roman"/>
              </w:rPr>
            </w:pPr>
            <w:r>
              <w:rPr>
                <w:rStyle w:val="Strong"/>
                <w:lang w:val="en-GB" w:eastAsia="en-GB" w:bidi="ar-SA"/>
              </w:rPr>
              <w:t>Bidford Primary</w:t>
            </w:r>
            <w:r>
              <w:rPr/>
              <w:t xml:space="preserve"> – large but serving a wide rural catchment</w:t>
            </w:r>
          </w:p>
          <w:p>
            <w:pPr>
              <w:pStyle w:val="NormalWeb"/>
              <w:bidi w:val="0"/>
              <w:spacing w:before="100" w:after="100"/>
              <w:rPr>
                <w:rFonts w:ascii="Times New Roman" w:hAnsi="Times New Roman"/>
              </w:rPr>
            </w:pPr>
            <w:r>
              <w:rPr/>
              <w:t xml:space="preserve">None of these can absorb the potential </w:t>
            </w:r>
            <w:r>
              <w:rPr>
                <w:rStyle w:val="Strong"/>
                <w:lang w:val="en-GB" w:eastAsia="en-GB" w:bidi="ar-SA"/>
              </w:rPr>
              <w:t>1,200–1,600 primary pupils</w:t>
            </w:r>
            <w:r>
              <w:rPr/>
              <w:t xml:space="preserve"> generated by LMA.</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4.2 Secondary provision is even more constrained</w:t>
            </w:r>
          </w:p>
          <w:p>
            <w:pPr>
              <w:pStyle w:val="NormalWeb"/>
              <w:bidi w:val="0"/>
              <w:spacing w:before="100" w:after="100"/>
              <w:rPr>
                <w:rFonts w:ascii="Times New Roman" w:hAnsi="Times New Roman"/>
              </w:rPr>
            </w:pPr>
            <w:r>
              <w:rPr/>
              <w:t>Nearest secondary schools:</w:t>
            </w:r>
          </w:p>
          <w:p>
            <w:pPr>
              <w:pStyle w:val="NormalWeb"/>
              <w:numPr>
                <w:ilvl w:val="0"/>
                <w:numId w:val="5"/>
              </w:numPr>
              <w:tabs>
                <w:tab w:val="left" w:pos="720" w:leader="none"/>
              </w:tabs>
              <w:bidi w:val="0"/>
              <w:spacing w:before="100" w:after="0"/>
              <w:ind w:hanging="360" w:left="720" w:right="0"/>
              <w:rPr>
                <w:rFonts w:ascii="Times New Roman" w:hAnsi="Times New Roman"/>
              </w:rPr>
            </w:pPr>
            <w:r>
              <w:rPr>
                <w:rStyle w:val="Strong"/>
                <w:lang w:val="en-GB" w:eastAsia="en-GB" w:bidi="ar-SA"/>
              </w:rPr>
              <w:t>Chipping Campden School (Gloucestershire)</w:t>
            </w:r>
            <w:r>
              <w:rPr/>
              <w:t xml:space="preserve"> – oversubscribed</w:t>
            </w:r>
          </w:p>
          <w:p>
            <w:pPr>
              <w:pStyle w:val="NormalWeb"/>
              <w:numPr>
                <w:ilvl w:val="0"/>
                <w:numId w:val="5"/>
              </w:numPr>
              <w:tabs>
                <w:tab w:val="left" w:pos="720" w:leader="none"/>
              </w:tabs>
              <w:bidi w:val="0"/>
              <w:spacing w:before="0" w:after="0"/>
              <w:ind w:hanging="360" w:left="720" w:right="0"/>
              <w:rPr>
                <w:rFonts w:ascii="Times New Roman" w:hAnsi="Times New Roman"/>
              </w:rPr>
            </w:pPr>
            <w:r>
              <w:rPr>
                <w:rStyle w:val="Strong"/>
                <w:lang w:val="en-GB" w:eastAsia="en-GB" w:bidi="ar-SA"/>
              </w:rPr>
              <w:t>Stratford High School</w:t>
            </w:r>
            <w:r>
              <w:rPr/>
              <w:t xml:space="preserve"> – full, no expansion land</w:t>
            </w:r>
          </w:p>
          <w:p>
            <w:pPr>
              <w:pStyle w:val="NormalWeb"/>
              <w:numPr>
                <w:ilvl w:val="0"/>
                <w:numId w:val="5"/>
              </w:numPr>
              <w:tabs>
                <w:tab w:val="left" w:pos="720" w:leader="none"/>
              </w:tabs>
              <w:bidi w:val="0"/>
              <w:spacing w:before="0" w:after="0"/>
              <w:ind w:hanging="360" w:left="720" w:right="0"/>
              <w:rPr>
                <w:rFonts w:ascii="Times New Roman" w:hAnsi="Times New Roman"/>
              </w:rPr>
            </w:pPr>
            <w:r>
              <w:rPr>
                <w:rStyle w:val="Strong"/>
                <w:lang w:val="en-GB" w:eastAsia="en-GB" w:bidi="ar-SA"/>
              </w:rPr>
              <w:t>Stratford Girls Grammar</w:t>
            </w:r>
            <w:r>
              <w:rPr/>
              <w:t xml:space="preserve"> – selective</w:t>
            </w:r>
          </w:p>
          <w:p>
            <w:pPr>
              <w:pStyle w:val="NormalWeb"/>
              <w:numPr>
                <w:ilvl w:val="0"/>
                <w:numId w:val="5"/>
              </w:numPr>
              <w:tabs>
                <w:tab w:val="left" w:pos="720" w:leader="none"/>
              </w:tabs>
              <w:bidi w:val="0"/>
              <w:spacing w:before="0" w:after="0"/>
              <w:ind w:hanging="360" w:left="720" w:right="0"/>
              <w:rPr>
                <w:rFonts w:ascii="Times New Roman" w:hAnsi="Times New Roman"/>
              </w:rPr>
            </w:pPr>
            <w:r>
              <w:rPr>
                <w:rStyle w:val="Strong"/>
                <w:lang w:val="en-GB" w:eastAsia="en-GB" w:bidi="ar-SA"/>
              </w:rPr>
              <w:t>Alcester Academy</w:t>
            </w:r>
            <w:r>
              <w:rPr/>
              <w:t xml:space="preserve"> – full</w:t>
            </w:r>
          </w:p>
          <w:p>
            <w:pPr>
              <w:pStyle w:val="NormalWeb"/>
              <w:numPr>
                <w:ilvl w:val="0"/>
                <w:numId w:val="5"/>
              </w:numPr>
              <w:tabs>
                <w:tab w:val="left" w:pos="720" w:leader="none"/>
              </w:tabs>
              <w:bidi w:val="0"/>
              <w:spacing w:before="0" w:after="100"/>
              <w:ind w:hanging="360" w:left="720" w:right="0"/>
              <w:rPr>
                <w:rFonts w:ascii="Times New Roman" w:hAnsi="Times New Roman"/>
              </w:rPr>
            </w:pPr>
            <w:r>
              <w:rPr>
                <w:rStyle w:val="Strong"/>
                <w:lang w:val="en-GB" w:eastAsia="en-GB" w:bidi="ar-SA"/>
              </w:rPr>
              <w:t>Kineton High School</w:t>
            </w:r>
            <w:r>
              <w:rPr/>
              <w:t xml:space="preserve"> – distant, rural roads only</w:t>
            </w:r>
          </w:p>
          <w:p>
            <w:pPr>
              <w:pStyle w:val="NormalWeb"/>
              <w:bidi w:val="0"/>
              <w:spacing w:before="100" w:after="100"/>
              <w:rPr>
                <w:rFonts w:ascii="Times New Roman" w:hAnsi="Times New Roman"/>
              </w:rPr>
            </w:pPr>
            <w:r>
              <w:rPr/>
              <w:t xml:space="preserve">There is </w:t>
            </w:r>
            <w:r>
              <w:rPr>
                <w:rStyle w:val="Strong"/>
                <w:lang w:val="en-GB" w:eastAsia="en-GB" w:bidi="ar-SA"/>
              </w:rPr>
              <w:t>no current secondary school capacity</w:t>
            </w:r>
            <w:r>
              <w:rPr/>
              <w:t xml:space="preserve"> for LMA.</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4.3 LMA is far from education hubs</w:t>
            </w:r>
          </w:p>
          <w:p>
            <w:pPr>
              <w:pStyle w:val="NormalWeb"/>
              <w:bidi w:val="0"/>
              <w:spacing w:before="100" w:after="100"/>
              <w:rPr>
                <w:rFonts w:ascii="Times New Roman" w:hAnsi="Times New Roman"/>
              </w:rPr>
            </w:pPr>
            <w:r>
              <w:rPr/>
              <w:t xml:space="preserve">Stratford’s education cluster is </w:t>
            </w:r>
            <w:r>
              <w:rPr>
                <w:rStyle w:val="Strong"/>
                <w:lang w:val="en-GB" w:eastAsia="en-GB" w:bidi="ar-SA"/>
              </w:rPr>
              <w:t>6–7 miles away</w:t>
            </w:r>
            <w:r>
              <w:rPr/>
              <w:t>, via:</w:t>
            </w:r>
          </w:p>
          <w:p>
            <w:pPr>
              <w:pStyle w:val="NormalWeb"/>
              <w:numPr>
                <w:ilvl w:val="0"/>
                <w:numId w:val="6"/>
              </w:numPr>
              <w:tabs>
                <w:tab w:val="left" w:pos="720" w:leader="none"/>
              </w:tabs>
              <w:bidi w:val="0"/>
              <w:spacing w:before="100" w:after="0"/>
              <w:ind w:hanging="360" w:left="720" w:right="0"/>
              <w:rPr>
                <w:rFonts w:ascii="Times New Roman" w:hAnsi="Times New Roman"/>
              </w:rPr>
            </w:pPr>
            <w:r>
              <w:rPr/>
              <w:t>rural roads,</w:t>
            </w:r>
          </w:p>
          <w:p>
            <w:pPr>
              <w:pStyle w:val="NormalWeb"/>
              <w:numPr>
                <w:ilvl w:val="0"/>
                <w:numId w:val="6"/>
              </w:numPr>
              <w:tabs>
                <w:tab w:val="left" w:pos="720" w:leader="none"/>
              </w:tabs>
              <w:bidi w:val="0"/>
              <w:spacing w:before="0" w:after="0"/>
              <w:ind w:hanging="360" w:left="720" w:right="0"/>
              <w:rPr>
                <w:rFonts w:ascii="Times New Roman" w:hAnsi="Times New Roman"/>
              </w:rPr>
            </w:pPr>
            <w:r>
              <w:rPr/>
              <w:t>congested southern approaches,</w:t>
            </w:r>
          </w:p>
          <w:p>
            <w:pPr>
              <w:pStyle w:val="NormalWeb"/>
              <w:numPr>
                <w:ilvl w:val="0"/>
                <w:numId w:val="6"/>
              </w:numPr>
              <w:tabs>
                <w:tab w:val="left" w:pos="720" w:leader="none"/>
              </w:tabs>
              <w:bidi w:val="0"/>
              <w:spacing w:before="0" w:after="0"/>
              <w:ind w:hanging="360" w:left="720" w:right="0"/>
              <w:rPr>
                <w:rFonts w:ascii="Times New Roman" w:hAnsi="Times New Roman"/>
              </w:rPr>
            </w:pPr>
            <w:r>
              <w:rPr/>
              <w:t>no mass transit,</w:t>
            </w:r>
          </w:p>
          <w:p>
            <w:pPr>
              <w:pStyle w:val="NormalWeb"/>
              <w:numPr>
                <w:ilvl w:val="0"/>
                <w:numId w:val="6"/>
              </w:numPr>
              <w:tabs>
                <w:tab w:val="left" w:pos="720" w:leader="none"/>
              </w:tabs>
              <w:bidi w:val="0"/>
              <w:spacing w:before="0" w:after="100"/>
              <w:ind w:hanging="360" w:left="720" w:right="0"/>
              <w:rPr>
                <w:rFonts w:ascii="Times New Roman" w:hAnsi="Times New Roman"/>
              </w:rPr>
            </w:pPr>
            <w:r>
              <w:rPr/>
              <w:t>no safe active travel routes.</w:t>
            </w:r>
          </w:p>
          <w:p>
            <w:pPr>
              <w:pStyle w:val="NormalWeb"/>
              <w:bidi w:val="0"/>
              <w:spacing w:before="100" w:after="100"/>
              <w:rPr>
                <w:rFonts w:ascii="Times New Roman" w:hAnsi="Times New Roman"/>
              </w:rPr>
            </w:pPr>
            <w:r>
              <w:rPr/>
              <w:t xml:space="preserve">This makes school access </w:t>
            </w:r>
            <w:r>
              <w:rPr>
                <w:rStyle w:val="Strong"/>
                <w:lang w:val="en-GB" w:eastAsia="en-GB" w:bidi="ar-SA"/>
              </w:rPr>
              <w:t>car</w:t>
              <w:noBreakHyphen/>
              <w:t>dependent</w:t>
            </w:r>
            <w:r>
              <w:rPr/>
              <w:t>, unsafe, and unsustainable.</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5. Cross</w:t>
              <w:noBreakHyphen/>
              <w:t>Border Failure: Mickleton + LMA Combined Impact</w:t>
            </w:r>
          </w:p>
          <w:p>
            <w:pPr>
              <w:pStyle w:val="NormalWeb"/>
              <w:bidi w:val="0"/>
              <w:spacing w:before="100" w:after="100"/>
              <w:rPr>
                <w:rFonts w:ascii="Times New Roman" w:hAnsi="Times New Roman"/>
              </w:rPr>
            </w:pPr>
            <w:r>
              <w:rPr/>
              <w:t xml:space="preserve">Mickleton (Cotswold District) is planning </w:t>
            </w:r>
            <w:r>
              <w:rPr>
                <w:rStyle w:val="Strong"/>
                <w:lang w:val="en-GB" w:eastAsia="en-GB" w:bidi="ar-SA"/>
              </w:rPr>
              <w:t>1,000+ homes</w:t>
            </w:r>
            <w:r>
              <w:rPr/>
              <w:t xml:space="preserve">. LMA proposes </w:t>
            </w:r>
            <w:r>
              <w:rPr>
                <w:rStyle w:val="Strong"/>
                <w:lang w:val="en-GB" w:eastAsia="en-GB" w:bidi="ar-SA"/>
              </w:rPr>
              <w:t>4,000+ homes</w:t>
            </w:r>
            <w:r>
              <w:rPr/>
              <w:t>.</w:t>
            </w:r>
          </w:p>
          <w:p>
            <w:pPr>
              <w:pStyle w:val="NormalWeb"/>
              <w:bidi w:val="0"/>
              <w:spacing w:before="100" w:after="100"/>
              <w:rPr>
                <w:rFonts w:ascii="Times New Roman" w:hAnsi="Times New Roman"/>
              </w:rPr>
            </w:pPr>
            <w:r>
              <w:rPr/>
              <w:t>Together, they generate:</w:t>
            </w:r>
          </w:p>
          <w:p>
            <w:pPr>
              <w:pStyle w:val="NormalWeb"/>
              <w:numPr>
                <w:ilvl w:val="0"/>
                <w:numId w:val="7"/>
              </w:numPr>
              <w:tabs>
                <w:tab w:val="left" w:pos="720" w:leader="none"/>
              </w:tabs>
              <w:bidi w:val="0"/>
              <w:spacing w:before="100" w:after="0"/>
              <w:ind w:hanging="360" w:left="720" w:right="0"/>
              <w:rPr>
                <w:rFonts w:ascii="Times New Roman" w:hAnsi="Times New Roman"/>
              </w:rPr>
            </w:pPr>
            <w:r>
              <w:rPr>
                <w:rStyle w:val="Strong"/>
                <w:lang w:val="en-GB" w:eastAsia="en-GB" w:bidi="ar-SA"/>
              </w:rPr>
              <w:t>massive primary demand</w:t>
            </w:r>
            <w:r>
              <w:rPr/>
              <w:t>,</w:t>
            </w:r>
          </w:p>
          <w:p>
            <w:pPr>
              <w:pStyle w:val="NormalWeb"/>
              <w:numPr>
                <w:ilvl w:val="0"/>
                <w:numId w:val="7"/>
              </w:numPr>
              <w:tabs>
                <w:tab w:val="left" w:pos="720" w:leader="none"/>
              </w:tabs>
              <w:bidi w:val="0"/>
              <w:spacing w:before="0" w:after="0"/>
              <w:ind w:hanging="360" w:left="720" w:right="0"/>
              <w:rPr>
                <w:rFonts w:ascii="Times New Roman" w:hAnsi="Times New Roman"/>
              </w:rPr>
            </w:pPr>
            <w:r>
              <w:rPr>
                <w:rStyle w:val="Strong"/>
                <w:lang w:val="en-GB" w:eastAsia="en-GB" w:bidi="ar-SA"/>
              </w:rPr>
              <w:t>severe secondary pressure</w:t>
            </w:r>
            <w:r>
              <w:rPr/>
              <w:t>,</w:t>
            </w:r>
          </w:p>
          <w:p>
            <w:pPr>
              <w:pStyle w:val="NormalWeb"/>
              <w:numPr>
                <w:ilvl w:val="0"/>
                <w:numId w:val="7"/>
              </w:numPr>
              <w:tabs>
                <w:tab w:val="left" w:pos="720" w:leader="none"/>
              </w:tabs>
              <w:bidi w:val="0"/>
              <w:spacing w:before="0" w:after="0"/>
              <w:ind w:hanging="360" w:left="720" w:right="0"/>
              <w:rPr>
                <w:rFonts w:ascii="Times New Roman" w:hAnsi="Times New Roman"/>
              </w:rPr>
            </w:pPr>
            <w:r>
              <w:rPr>
                <w:rStyle w:val="Strong"/>
                <w:lang w:val="en-GB" w:eastAsia="en-GB" w:bidi="ar-SA"/>
              </w:rPr>
              <w:t>cross</w:t>
              <w:noBreakHyphen/>
              <w:t>border competition</w:t>
            </w:r>
            <w:r>
              <w:rPr/>
              <w:t>,</w:t>
            </w:r>
          </w:p>
          <w:p>
            <w:pPr>
              <w:pStyle w:val="NormalWeb"/>
              <w:numPr>
                <w:ilvl w:val="0"/>
                <w:numId w:val="7"/>
              </w:numPr>
              <w:tabs>
                <w:tab w:val="left" w:pos="720" w:leader="none"/>
              </w:tabs>
              <w:bidi w:val="0"/>
              <w:spacing w:before="0" w:after="0"/>
              <w:ind w:hanging="360" w:left="720" w:right="0"/>
              <w:rPr>
                <w:rFonts w:ascii="Times New Roman" w:hAnsi="Times New Roman"/>
              </w:rPr>
            </w:pPr>
            <w:r>
              <w:rPr>
                <w:rStyle w:val="Strong"/>
                <w:lang w:val="en-GB" w:eastAsia="en-GB" w:bidi="ar-SA"/>
              </w:rPr>
              <w:t>unsustainable school travel</w:t>
            </w:r>
            <w:r>
              <w:rPr/>
              <w:t>,</w:t>
            </w:r>
          </w:p>
          <w:p>
            <w:pPr>
              <w:pStyle w:val="NormalWeb"/>
              <w:numPr>
                <w:ilvl w:val="0"/>
                <w:numId w:val="7"/>
              </w:numPr>
              <w:tabs>
                <w:tab w:val="left" w:pos="720" w:leader="none"/>
              </w:tabs>
              <w:bidi w:val="0"/>
              <w:spacing w:before="0" w:after="0"/>
              <w:ind w:hanging="360" w:left="720" w:right="0"/>
              <w:rPr>
                <w:rFonts w:ascii="Times New Roman" w:hAnsi="Times New Roman"/>
              </w:rPr>
            </w:pPr>
            <w:r>
              <w:rPr>
                <w:rStyle w:val="Strong"/>
                <w:lang w:val="en-GB" w:eastAsia="en-GB" w:bidi="ar-SA"/>
              </w:rPr>
              <w:t>pressure on Chipping Campden School</w:t>
            </w:r>
            <w:r>
              <w:rPr/>
              <w:t>,</w:t>
            </w:r>
          </w:p>
          <w:p>
            <w:pPr>
              <w:pStyle w:val="NormalWeb"/>
              <w:numPr>
                <w:ilvl w:val="0"/>
                <w:numId w:val="7"/>
              </w:numPr>
              <w:tabs>
                <w:tab w:val="left" w:pos="720" w:leader="none"/>
              </w:tabs>
              <w:bidi w:val="0"/>
              <w:spacing w:before="0" w:after="0"/>
              <w:ind w:hanging="360" w:left="720" w:right="0"/>
              <w:rPr>
                <w:rFonts w:ascii="Times New Roman" w:hAnsi="Times New Roman"/>
              </w:rPr>
            </w:pPr>
            <w:r>
              <w:rPr>
                <w:rStyle w:val="Strong"/>
                <w:lang w:val="en-GB" w:eastAsia="en-GB" w:bidi="ar-SA"/>
              </w:rPr>
              <w:t>pressure on rural primaries</w:t>
            </w:r>
            <w:r>
              <w:rPr/>
              <w:t>,</w:t>
            </w:r>
          </w:p>
          <w:p>
            <w:pPr>
              <w:pStyle w:val="NormalWeb"/>
              <w:numPr>
                <w:ilvl w:val="0"/>
                <w:numId w:val="7"/>
              </w:numPr>
              <w:tabs>
                <w:tab w:val="left" w:pos="720" w:leader="none"/>
              </w:tabs>
              <w:bidi w:val="0"/>
              <w:spacing w:before="0" w:after="100"/>
              <w:ind w:hanging="360" w:left="720" w:right="0"/>
              <w:rPr>
                <w:rFonts w:ascii="Times New Roman" w:hAnsi="Times New Roman"/>
              </w:rPr>
            </w:pPr>
            <w:r>
              <w:rPr>
                <w:rStyle w:val="Strong"/>
                <w:lang w:val="en-GB" w:eastAsia="en-GB" w:bidi="ar-SA"/>
              </w:rPr>
              <w:t>transport congestion on B4632</w:t>
            </w:r>
            <w:r>
              <w:rPr/>
              <w:t>.</w:t>
            </w:r>
          </w:p>
          <w:p>
            <w:pPr>
              <w:pStyle w:val="NormalWeb"/>
              <w:bidi w:val="0"/>
              <w:spacing w:before="100" w:after="100"/>
              <w:rPr>
                <w:rFonts w:ascii="Times New Roman" w:hAnsi="Times New Roman"/>
              </w:rPr>
            </w:pPr>
            <w:r>
              <w:rPr/>
              <w:t xml:space="preserve">The SWLP provides </w:t>
            </w:r>
            <w:r>
              <w:rPr>
                <w:rStyle w:val="Strong"/>
                <w:lang w:val="en-GB" w:eastAsia="en-GB" w:bidi="ar-SA"/>
              </w:rPr>
              <w:t>no joint evidence</w:t>
            </w:r>
            <w:r>
              <w:rPr/>
              <w:t xml:space="preserve">, </w:t>
            </w:r>
            <w:r>
              <w:rPr>
                <w:rStyle w:val="Strong"/>
                <w:lang w:val="en-GB" w:eastAsia="en-GB" w:bidi="ar-SA"/>
              </w:rPr>
              <w:t>no shared modelling</w:t>
            </w:r>
            <w:r>
              <w:rPr/>
              <w:t xml:space="preserve">, and </w:t>
            </w:r>
            <w:r>
              <w:rPr>
                <w:rStyle w:val="Strong"/>
                <w:lang w:val="en-GB" w:eastAsia="en-GB" w:bidi="ar-SA"/>
              </w:rPr>
              <w:t>no coordinated strategy</w:t>
            </w:r>
            <w:r>
              <w:rPr/>
              <w:t xml:space="preserve"> with Gloucestershire.</w:t>
            </w:r>
          </w:p>
          <w:p>
            <w:pPr>
              <w:pStyle w:val="NormalWeb"/>
              <w:bidi w:val="0"/>
              <w:spacing w:before="100" w:after="100"/>
              <w:rPr>
                <w:rFonts w:ascii="Times New Roman" w:hAnsi="Times New Roman"/>
              </w:rPr>
            </w:pPr>
            <w:r>
              <w:rPr/>
              <w:t xml:space="preserve">This is a </w:t>
            </w:r>
            <w:r>
              <w:rPr>
                <w:rStyle w:val="Strong"/>
                <w:lang w:val="en-GB" w:eastAsia="en-GB" w:bidi="ar-SA"/>
              </w:rPr>
              <w:t>Duty to Cooperate failure</w:t>
            </w:r>
            <w:r>
              <w:rPr/>
              <w:t>.</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6. Why this makes LMA unsound</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A. Not Justified (NPPF §31, §35)</w:t>
            </w:r>
          </w:p>
          <w:p>
            <w:pPr>
              <w:pStyle w:val="NormalWeb"/>
              <w:bidi w:val="0"/>
              <w:spacing w:before="100" w:after="100"/>
              <w:rPr>
                <w:rFonts w:ascii="Times New Roman" w:hAnsi="Times New Roman"/>
              </w:rPr>
            </w:pPr>
            <w:r>
              <w:rPr/>
              <w:t xml:space="preserve">The SWLP provides </w:t>
            </w:r>
            <w:r>
              <w:rPr>
                <w:rStyle w:val="Strong"/>
                <w:lang w:val="en-GB" w:eastAsia="en-GB" w:bidi="ar-SA"/>
              </w:rPr>
              <w:t>no proportionate evidence</w:t>
            </w:r>
            <w:r>
              <w:rPr/>
              <w:t xml:space="preserve"> on:</w:t>
            </w:r>
          </w:p>
          <w:p>
            <w:pPr>
              <w:pStyle w:val="NormalWeb"/>
              <w:numPr>
                <w:ilvl w:val="0"/>
                <w:numId w:val="8"/>
              </w:numPr>
              <w:tabs>
                <w:tab w:val="left" w:pos="720" w:leader="none"/>
              </w:tabs>
              <w:bidi w:val="0"/>
              <w:spacing w:before="100" w:after="0"/>
              <w:ind w:hanging="360" w:left="720" w:right="0"/>
              <w:rPr>
                <w:rFonts w:ascii="Times New Roman" w:hAnsi="Times New Roman"/>
              </w:rPr>
            </w:pPr>
            <w:r>
              <w:rPr/>
              <w:t>pupil yield,</w:t>
            </w:r>
          </w:p>
          <w:p>
            <w:pPr>
              <w:pStyle w:val="NormalWeb"/>
              <w:numPr>
                <w:ilvl w:val="0"/>
                <w:numId w:val="8"/>
              </w:numPr>
              <w:tabs>
                <w:tab w:val="left" w:pos="720" w:leader="none"/>
              </w:tabs>
              <w:bidi w:val="0"/>
              <w:spacing w:before="0" w:after="0"/>
              <w:ind w:hanging="360" w:left="720" w:right="0"/>
              <w:rPr>
                <w:rFonts w:ascii="Times New Roman" w:hAnsi="Times New Roman"/>
              </w:rPr>
            </w:pPr>
            <w:r>
              <w:rPr/>
              <w:t>primary school land requirements,</w:t>
            </w:r>
          </w:p>
          <w:p>
            <w:pPr>
              <w:pStyle w:val="NormalWeb"/>
              <w:numPr>
                <w:ilvl w:val="0"/>
                <w:numId w:val="8"/>
              </w:numPr>
              <w:tabs>
                <w:tab w:val="left" w:pos="720" w:leader="none"/>
              </w:tabs>
              <w:bidi w:val="0"/>
              <w:spacing w:before="0" w:after="0"/>
              <w:ind w:hanging="360" w:left="720" w:right="0"/>
              <w:rPr>
                <w:rFonts w:ascii="Times New Roman" w:hAnsi="Times New Roman"/>
              </w:rPr>
            </w:pPr>
            <w:r>
              <w:rPr/>
              <w:t>secondary school need,</w:t>
            </w:r>
          </w:p>
          <w:p>
            <w:pPr>
              <w:pStyle w:val="NormalWeb"/>
              <w:numPr>
                <w:ilvl w:val="0"/>
                <w:numId w:val="8"/>
              </w:numPr>
              <w:tabs>
                <w:tab w:val="left" w:pos="720" w:leader="none"/>
              </w:tabs>
              <w:bidi w:val="0"/>
              <w:spacing w:before="0" w:after="0"/>
              <w:ind w:hanging="360" w:left="720" w:right="0"/>
              <w:rPr>
                <w:rFonts w:ascii="Times New Roman" w:hAnsi="Times New Roman"/>
              </w:rPr>
            </w:pPr>
            <w:r>
              <w:rPr/>
              <w:t>early years provision,</w:t>
            </w:r>
          </w:p>
          <w:p>
            <w:pPr>
              <w:pStyle w:val="NormalWeb"/>
              <w:numPr>
                <w:ilvl w:val="0"/>
                <w:numId w:val="8"/>
              </w:numPr>
              <w:tabs>
                <w:tab w:val="left" w:pos="720" w:leader="none"/>
              </w:tabs>
              <w:bidi w:val="0"/>
              <w:spacing w:before="0" w:after="0"/>
              <w:ind w:hanging="360" w:left="720" w:right="0"/>
              <w:rPr>
                <w:rFonts w:ascii="Times New Roman" w:hAnsi="Times New Roman"/>
              </w:rPr>
            </w:pPr>
            <w:r>
              <w:rPr/>
              <w:t>SEN provision,</w:t>
            </w:r>
          </w:p>
          <w:p>
            <w:pPr>
              <w:pStyle w:val="NormalWeb"/>
              <w:numPr>
                <w:ilvl w:val="0"/>
                <w:numId w:val="8"/>
              </w:numPr>
              <w:tabs>
                <w:tab w:val="left" w:pos="720" w:leader="none"/>
              </w:tabs>
              <w:bidi w:val="0"/>
              <w:spacing w:before="0" w:after="0"/>
              <w:ind w:hanging="360" w:left="720" w:right="0"/>
              <w:rPr>
                <w:rFonts w:ascii="Times New Roman" w:hAnsi="Times New Roman"/>
              </w:rPr>
            </w:pPr>
            <w:r>
              <w:rPr/>
              <w:t>cross</w:t>
              <w:noBreakHyphen/>
              <w:t>border impacts,</w:t>
            </w:r>
          </w:p>
          <w:p>
            <w:pPr>
              <w:pStyle w:val="NormalWeb"/>
              <w:numPr>
                <w:ilvl w:val="0"/>
                <w:numId w:val="8"/>
              </w:numPr>
              <w:tabs>
                <w:tab w:val="left" w:pos="720" w:leader="none"/>
              </w:tabs>
              <w:bidi w:val="0"/>
              <w:spacing w:before="0" w:after="0"/>
              <w:ind w:hanging="360" w:left="720" w:right="0"/>
              <w:rPr>
                <w:rFonts w:ascii="Times New Roman" w:hAnsi="Times New Roman"/>
              </w:rPr>
            </w:pPr>
            <w:r>
              <w:rPr/>
              <w:t>safe routes to school,</w:t>
            </w:r>
          </w:p>
          <w:p>
            <w:pPr>
              <w:pStyle w:val="NormalWeb"/>
              <w:numPr>
                <w:ilvl w:val="0"/>
                <w:numId w:val="8"/>
              </w:numPr>
              <w:tabs>
                <w:tab w:val="left" w:pos="720" w:leader="none"/>
              </w:tabs>
              <w:bidi w:val="0"/>
              <w:spacing w:before="0" w:after="100"/>
              <w:ind w:hanging="360" w:left="720" w:right="0"/>
              <w:rPr>
                <w:rFonts w:ascii="Times New Roman" w:hAnsi="Times New Roman"/>
              </w:rPr>
            </w:pPr>
            <w:r>
              <w:rPr/>
              <w:t>funding and delivery.</w:t>
            </w:r>
          </w:p>
          <w:p>
            <w:pPr>
              <w:pStyle w:val="NormalWeb"/>
              <w:bidi w:val="0"/>
              <w:spacing w:before="100" w:after="100"/>
              <w:rPr>
                <w:rFonts w:ascii="Times New Roman" w:hAnsi="Times New Roman"/>
              </w:rPr>
            </w:pPr>
            <w:r>
              <w:rPr/>
              <w:t>This is a breach of NPPF §31.</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B. Not Effective (NPPF §35)</w:t>
            </w:r>
          </w:p>
          <w:p>
            <w:pPr>
              <w:pStyle w:val="NormalWeb"/>
              <w:bidi w:val="0"/>
              <w:spacing w:before="100" w:after="100"/>
              <w:rPr>
                <w:rFonts w:ascii="Times New Roman" w:hAnsi="Times New Roman"/>
              </w:rPr>
            </w:pPr>
            <w:r>
              <w:rPr/>
              <w:t>A new settlement cannot function without:</w:t>
            </w:r>
          </w:p>
          <w:p>
            <w:pPr>
              <w:pStyle w:val="NormalWeb"/>
              <w:numPr>
                <w:ilvl w:val="0"/>
                <w:numId w:val="9"/>
              </w:numPr>
              <w:tabs>
                <w:tab w:val="left" w:pos="720" w:leader="none"/>
              </w:tabs>
              <w:bidi w:val="0"/>
              <w:spacing w:before="100" w:after="0"/>
              <w:ind w:hanging="360" w:left="720" w:right="0"/>
              <w:rPr>
                <w:rFonts w:ascii="Times New Roman" w:hAnsi="Times New Roman"/>
              </w:rPr>
            </w:pPr>
            <w:r>
              <w:rPr/>
              <w:t>guaranteed school sites,</w:t>
            </w:r>
          </w:p>
          <w:p>
            <w:pPr>
              <w:pStyle w:val="NormalWeb"/>
              <w:numPr>
                <w:ilvl w:val="0"/>
                <w:numId w:val="9"/>
              </w:numPr>
              <w:tabs>
                <w:tab w:val="left" w:pos="720" w:leader="none"/>
              </w:tabs>
              <w:bidi w:val="0"/>
              <w:spacing w:before="0" w:after="0"/>
              <w:ind w:hanging="360" w:left="720" w:right="0"/>
              <w:rPr>
                <w:rFonts w:ascii="Times New Roman" w:hAnsi="Times New Roman"/>
              </w:rPr>
            </w:pPr>
            <w:r>
              <w:rPr/>
              <w:t>guaranteed funding,</w:t>
            </w:r>
          </w:p>
          <w:p>
            <w:pPr>
              <w:pStyle w:val="NormalWeb"/>
              <w:numPr>
                <w:ilvl w:val="0"/>
                <w:numId w:val="9"/>
              </w:numPr>
              <w:tabs>
                <w:tab w:val="left" w:pos="720" w:leader="none"/>
              </w:tabs>
              <w:bidi w:val="0"/>
              <w:spacing w:before="0" w:after="0"/>
              <w:ind w:hanging="360" w:left="720" w:right="0"/>
              <w:rPr>
                <w:rFonts w:ascii="Times New Roman" w:hAnsi="Times New Roman"/>
              </w:rPr>
            </w:pPr>
            <w:r>
              <w:rPr/>
              <w:t>guaranteed delivery timelines,</w:t>
            </w:r>
          </w:p>
          <w:p>
            <w:pPr>
              <w:pStyle w:val="NormalWeb"/>
              <w:numPr>
                <w:ilvl w:val="0"/>
                <w:numId w:val="9"/>
              </w:numPr>
              <w:tabs>
                <w:tab w:val="left" w:pos="720" w:leader="none"/>
              </w:tabs>
              <w:bidi w:val="0"/>
              <w:spacing w:before="0" w:after="0"/>
              <w:ind w:hanging="360" w:left="720" w:right="0"/>
              <w:rPr>
                <w:rFonts w:ascii="Times New Roman" w:hAnsi="Times New Roman"/>
              </w:rPr>
            </w:pPr>
            <w:r>
              <w:rPr/>
              <w:t>guaranteed secondary provision,</w:t>
            </w:r>
          </w:p>
          <w:p>
            <w:pPr>
              <w:pStyle w:val="NormalWeb"/>
              <w:numPr>
                <w:ilvl w:val="0"/>
                <w:numId w:val="9"/>
              </w:numPr>
              <w:tabs>
                <w:tab w:val="left" w:pos="720" w:leader="none"/>
              </w:tabs>
              <w:bidi w:val="0"/>
              <w:spacing w:before="0" w:after="0"/>
              <w:ind w:hanging="360" w:left="720" w:right="0"/>
              <w:rPr>
                <w:rFonts w:ascii="Times New Roman" w:hAnsi="Times New Roman"/>
              </w:rPr>
            </w:pPr>
            <w:r>
              <w:rPr/>
              <w:t>safe walking/cycling routes,</w:t>
            </w:r>
          </w:p>
          <w:p>
            <w:pPr>
              <w:pStyle w:val="NormalWeb"/>
              <w:numPr>
                <w:ilvl w:val="0"/>
                <w:numId w:val="9"/>
              </w:numPr>
              <w:tabs>
                <w:tab w:val="left" w:pos="720" w:leader="none"/>
              </w:tabs>
              <w:bidi w:val="0"/>
              <w:spacing w:before="0" w:after="100"/>
              <w:ind w:hanging="360" w:left="720" w:right="0"/>
              <w:rPr>
                <w:rFonts w:ascii="Times New Roman" w:hAnsi="Times New Roman"/>
              </w:rPr>
            </w:pPr>
            <w:r>
              <w:rPr/>
              <w:t>realistic transport planning.</w:t>
            </w:r>
          </w:p>
          <w:p>
            <w:pPr>
              <w:pStyle w:val="NormalWeb"/>
              <w:bidi w:val="0"/>
              <w:spacing w:before="100" w:after="100"/>
              <w:rPr>
                <w:rFonts w:ascii="Times New Roman" w:hAnsi="Times New Roman"/>
              </w:rPr>
            </w:pPr>
            <w:r>
              <w:rPr/>
              <w:t>None of this exists for LMA.</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C. Not Consistent with National Policy (NPPF §§104–110, §8)</w:t>
            </w:r>
          </w:p>
          <w:p>
            <w:pPr>
              <w:pStyle w:val="NormalWeb"/>
              <w:bidi w:val="0"/>
              <w:spacing w:before="100" w:after="100"/>
              <w:rPr>
                <w:rFonts w:ascii="Times New Roman" w:hAnsi="Times New Roman"/>
              </w:rPr>
            </w:pPr>
            <w:r>
              <w:rPr/>
              <w:t>NPPF requires:</w:t>
            </w:r>
          </w:p>
          <w:p>
            <w:pPr>
              <w:pStyle w:val="NormalWeb"/>
              <w:numPr>
                <w:ilvl w:val="0"/>
                <w:numId w:val="10"/>
              </w:numPr>
              <w:tabs>
                <w:tab w:val="left" w:pos="720" w:leader="none"/>
              </w:tabs>
              <w:bidi w:val="0"/>
              <w:spacing w:before="100" w:after="0"/>
              <w:ind w:hanging="360" w:left="720" w:right="0"/>
              <w:rPr>
                <w:rFonts w:ascii="Times New Roman" w:hAnsi="Times New Roman"/>
              </w:rPr>
            </w:pPr>
            <w:r>
              <w:rPr/>
              <w:t>safe and sustainable access to schools,</w:t>
            </w:r>
          </w:p>
          <w:p>
            <w:pPr>
              <w:pStyle w:val="NormalWeb"/>
              <w:numPr>
                <w:ilvl w:val="0"/>
                <w:numId w:val="10"/>
              </w:numPr>
              <w:tabs>
                <w:tab w:val="left" w:pos="720" w:leader="none"/>
              </w:tabs>
              <w:bidi w:val="0"/>
              <w:spacing w:before="0" w:after="0"/>
              <w:ind w:hanging="360" w:left="720" w:right="0"/>
              <w:rPr>
                <w:rFonts w:ascii="Times New Roman" w:hAnsi="Times New Roman"/>
              </w:rPr>
            </w:pPr>
            <w:r>
              <w:rPr/>
              <w:t>reduced car dependency,</w:t>
            </w:r>
          </w:p>
          <w:p>
            <w:pPr>
              <w:pStyle w:val="NormalWeb"/>
              <w:numPr>
                <w:ilvl w:val="0"/>
                <w:numId w:val="10"/>
              </w:numPr>
              <w:tabs>
                <w:tab w:val="left" w:pos="720" w:leader="none"/>
              </w:tabs>
              <w:bidi w:val="0"/>
              <w:spacing w:before="0" w:after="0"/>
              <w:ind w:hanging="360" w:left="720" w:right="0"/>
              <w:rPr>
                <w:rFonts w:ascii="Times New Roman" w:hAnsi="Times New Roman"/>
              </w:rPr>
            </w:pPr>
            <w:r>
              <w:rPr/>
              <w:t>integrated land</w:t>
              <w:noBreakHyphen/>
              <w:t>use and education planning,</w:t>
            </w:r>
          </w:p>
          <w:p>
            <w:pPr>
              <w:pStyle w:val="NormalWeb"/>
              <w:numPr>
                <w:ilvl w:val="0"/>
                <w:numId w:val="10"/>
              </w:numPr>
              <w:tabs>
                <w:tab w:val="left" w:pos="720" w:leader="none"/>
              </w:tabs>
              <w:bidi w:val="0"/>
              <w:spacing w:before="0" w:after="100"/>
              <w:ind w:hanging="360" w:left="720" w:right="0"/>
              <w:rPr>
                <w:rFonts w:ascii="Times New Roman" w:hAnsi="Times New Roman"/>
              </w:rPr>
            </w:pPr>
            <w:r>
              <w:rPr/>
              <w:t>early delivery of essential infrastructure.</w:t>
            </w:r>
          </w:p>
          <w:p>
            <w:pPr>
              <w:pStyle w:val="NormalWeb"/>
              <w:bidi w:val="0"/>
              <w:spacing w:before="100" w:after="100"/>
              <w:rPr>
                <w:rFonts w:ascii="Times New Roman" w:hAnsi="Times New Roman"/>
              </w:rPr>
            </w:pPr>
            <w:r>
              <w:rPr/>
              <w:t>LMA fails all of these.</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4.  Please set out the modification(s) you consider necessary to make the Local Plan legally compliant and sound, in respect of any legal compliance or soundness matters you have identified at 3 above.  You will need to say why each modification will make the Local Plan legally compliant or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It will be helpful if you are able to put forward your suggested revised wording of any policy or text.</w:t>
            </w:r>
          </w:p>
          <w:p>
            <w:pPr>
              <w:pStyle w:val="Normal"/>
              <w:rPr>
                <w:rFonts w:ascii="Arial" w:hAnsi="Arial" w:cs="Arial"/>
              </w:rPr>
            </w:pPr>
            <w:r>
              <w:rPr>
                <w:rFonts w:cs="Arial" w:ascii="Arial" w:hAnsi="Arial"/>
              </w:rPr>
            </w:r>
          </w:p>
        </w:tc>
      </w:tr>
      <w:tr>
        <w:trPr>
          <w:trHeight w:val="274"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7. Requested Modifications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1 — Publish a full education evidence base</w:t>
            </w:r>
          </w:p>
          <w:p>
            <w:pPr>
              <w:pStyle w:val="NormalWeb"/>
              <w:bidi w:val="0"/>
              <w:spacing w:before="100" w:after="100"/>
              <w:rPr>
                <w:rFonts w:ascii="Times New Roman" w:hAnsi="Times New Roman"/>
              </w:rPr>
            </w:pPr>
            <w:r>
              <w:rPr/>
              <w:t>Including:</w:t>
            </w:r>
          </w:p>
          <w:p>
            <w:pPr>
              <w:pStyle w:val="NormalWeb"/>
              <w:numPr>
                <w:ilvl w:val="0"/>
                <w:numId w:val="13"/>
              </w:numPr>
              <w:tabs>
                <w:tab w:val="left" w:pos="720" w:leader="none"/>
              </w:tabs>
              <w:bidi w:val="0"/>
              <w:spacing w:before="100" w:after="0"/>
              <w:rPr/>
            </w:pPr>
            <w:r>
              <w:rPr/>
              <w:t>pupil yield modelling,</w:t>
            </w:r>
          </w:p>
          <w:p>
            <w:pPr>
              <w:pStyle w:val="NormalWeb"/>
              <w:numPr>
                <w:ilvl w:val="0"/>
                <w:numId w:val="13"/>
              </w:numPr>
              <w:tabs>
                <w:tab w:val="left" w:pos="720" w:leader="none"/>
              </w:tabs>
              <w:bidi w:val="0"/>
              <w:spacing w:before="0" w:after="0"/>
              <w:rPr/>
            </w:pPr>
            <w:r>
              <w:rPr/>
              <w:t>primary school land allocations,</w:t>
            </w:r>
          </w:p>
          <w:p>
            <w:pPr>
              <w:pStyle w:val="NormalWeb"/>
              <w:numPr>
                <w:ilvl w:val="0"/>
                <w:numId w:val="13"/>
              </w:numPr>
              <w:tabs>
                <w:tab w:val="left" w:pos="720" w:leader="none"/>
              </w:tabs>
              <w:bidi w:val="0"/>
              <w:spacing w:before="0" w:after="0"/>
              <w:rPr/>
            </w:pPr>
            <w:r>
              <w:rPr/>
              <w:t>secondary school strategy,</w:t>
            </w:r>
          </w:p>
          <w:p>
            <w:pPr>
              <w:pStyle w:val="NormalWeb"/>
              <w:numPr>
                <w:ilvl w:val="0"/>
                <w:numId w:val="13"/>
              </w:numPr>
              <w:tabs>
                <w:tab w:val="left" w:pos="720" w:leader="none"/>
              </w:tabs>
              <w:bidi w:val="0"/>
              <w:spacing w:before="0" w:after="0"/>
              <w:rPr/>
            </w:pPr>
            <w:r>
              <w:rPr/>
              <w:t>early years and SEN provision,</w:t>
            </w:r>
          </w:p>
          <w:p>
            <w:pPr>
              <w:pStyle w:val="NormalWeb"/>
              <w:numPr>
                <w:ilvl w:val="0"/>
                <w:numId w:val="13"/>
              </w:numPr>
              <w:tabs>
                <w:tab w:val="left" w:pos="720" w:leader="none"/>
              </w:tabs>
              <w:bidi w:val="0"/>
              <w:spacing w:before="0" w:after="0"/>
              <w:rPr>
                <w:rFonts w:ascii="Times New Roman" w:hAnsi="Times New Roman"/>
              </w:rPr>
            </w:pPr>
            <w:r>
              <w:rPr/>
              <w:t>cross</w:t>
              <w:noBreakHyphen/>
              <w:t>border modelling with Mickleton.</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2 — Provide a deliverable, funded, phased education plan</w:t>
            </w:r>
          </w:p>
          <w:p>
            <w:pPr>
              <w:pStyle w:val="NormalWeb"/>
              <w:bidi w:val="0"/>
              <w:spacing w:before="100" w:after="100"/>
              <w:rPr>
                <w:rFonts w:ascii="Times New Roman" w:hAnsi="Times New Roman"/>
              </w:rPr>
            </w:pPr>
            <w:r>
              <w:rPr/>
              <w:t>Including:</w:t>
            </w:r>
          </w:p>
          <w:p>
            <w:pPr>
              <w:pStyle w:val="NormalWeb"/>
              <w:numPr>
                <w:ilvl w:val="0"/>
                <w:numId w:val="14"/>
              </w:numPr>
              <w:tabs>
                <w:tab w:val="left" w:pos="720" w:leader="none"/>
              </w:tabs>
              <w:bidi w:val="0"/>
              <w:spacing w:before="100" w:after="0"/>
              <w:rPr/>
            </w:pPr>
            <w:r>
              <w:rPr/>
              <w:t>school delivery triggers,</w:t>
            </w:r>
          </w:p>
          <w:p>
            <w:pPr>
              <w:pStyle w:val="NormalWeb"/>
              <w:numPr>
                <w:ilvl w:val="0"/>
                <w:numId w:val="14"/>
              </w:numPr>
              <w:tabs>
                <w:tab w:val="left" w:pos="720" w:leader="none"/>
              </w:tabs>
              <w:bidi w:val="0"/>
              <w:spacing w:before="0" w:after="0"/>
              <w:rPr/>
            </w:pPr>
            <w:r>
              <w:rPr/>
              <w:t>funding agreements,</w:t>
            </w:r>
          </w:p>
          <w:p>
            <w:pPr>
              <w:pStyle w:val="NormalWeb"/>
              <w:numPr>
                <w:ilvl w:val="0"/>
                <w:numId w:val="14"/>
              </w:numPr>
              <w:tabs>
                <w:tab w:val="left" w:pos="720" w:leader="none"/>
              </w:tabs>
              <w:bidi w:val="0"/>
              <w:spacing w:before="0" w:after="0"/>
              <w:rPr/>
            </w:pPr>
            <w:r>
              <w:rPr/>
              <w:t>land safeguarded for schools,</w:t>
            </w:r>
          </w:p>
          <w:p>
            <w:pPr>
              <w:pStyle w:val="NormalWeb"/>
              <w:numPr>
                <w:ilvl w:val="0"/>
                <w:numId w:val="14"/>
              </w:numPr>
              <w:tabs>
                <w:tab w:val="left" w:pos="720" w:leader="none"/>
              </w:tabs>
              <w:bidi w:val="0"/>
              <w:spacing w:before="0" w:after="0"/>
              <w:rPr>
                <w:rFonts w:ascii="Times New Roman" w:hAnsi="Times New Roman"/>
              </w:rPr>
            </w:pPr>
            <w:r>
              <w:rPr/>
              <w:t>guaranteed secondary provision.</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3 — Publish a safe routes to school strategy</w:t>
            </w:r>
          </w:p>
          <w:p>
            <w:pPr>
              <w:pStyle w:val="NormalWeb"/>
              <w:bidi w:val="0"/>
              <w:spacing w:before="100" w:after="100"/>
              <w:rPr>
                <w:rFonts w:ascii="Times New Roman" w:hAnsi="Times New Roman"/>
              </w:rPr>
            </w:pPr>
            <w:r>
              <w:rPr/>
              <w:t>Including:</w:t>
            </w:r>
          </w:p>
          <w:p>
            <w:pPr>
              <w:pStyle w:val="NormalWeb"/>
              <w:numPr>
                <w:ilvl w:val="0"/>
                <w:numId w:val="3"/>
              </w:numPr>
              <w:tabs>
                <w:tab w:val="left" w:pos="720" w:leader="none"/>
              </w:tabs>
              <w:bidi w:val="0"/>
              <w:spacing w:before="100" w:after="0"/>
              <w:ind w:hanging="360" w:left="720" w:right="0"/>
              <w:rPr>
                <w:rFonts w:ascii="Times New Roman" w:hAnsi="Times New Roman"/>
              </w:rPr>
            </w:pPr>
            <w:r>
              <w:rPr/>
              <w:t>active travel corridors,</w:t>
            </w:r>
          </w:p>
          <w:p>
            <w:pPr>
              <w:pStyle w:val="NormalWeb"/>
              <w:numPr>
                <w:ilvl w:val="0"/>
                <w:numId w:val="3"/>
              </w:numPr>
              <w:tabs>
                <w:tab w:val="left" w:pos="720" w:leader="none"/>
              </w:tabs>
              <w:bidi w:val="0"/>
              <w:spacing w:before="0" w:after="0"/>
              <w:ind w:hanging="360" w:left="720" w:right="0"/>
              <w:rPr>
                <w:rFonts w:ascii="Times New Roman" w:hAnsi="Times New Roman"/>
              </w:rPr>
            </w:pPr>
            <w:r>
              <w:rPr/>
              <w:t>bus routes,</w:t>
            </w:r>
          </w:p>
          <w:p>
            <w:pPr>
              <w:pStyle w:val="NormalWeb"/>
              <w:numPr>
                <w:ilvl w:val="0"/>
                <w:numId w:val="3"/>
              </w:numPr>
              <w:tabs>
                <w:tab w:val="left" w:pos="720" w:leader="none"/>
              </w:tabs>
              <w:bidi w:val="0"/>
              <w:spacing w:before="0" w:after="0"/>
              <w:ind w:hanging="360" w:left="720" w:right="0"/>
              <w:rPr>
                <w:rFonts w:ascii="Times New Roman" w:hAnsi="Times New Roman"/>
              </w:rPr>
            </w:pPr>
            <w:r>
              <w:rPr/>
              <w:t>crossing points,</w:t>
            </w:r>
          </w:p>
          <w:p>
            <w:pPr>
              <w:pStyle w:val="NormalWeb"/>
              <w:numPr>
                <w:ilvl w:val="0"/>
                <w:numId w:val="3"/>
              </w:numPr>
              <w:tabs>
                <w:tab w:val="left" w:pos="720" w:leader="none"/>
              </w:tabs>
              <w:bidi w:val="0"/>
              <w:spacing w:before="0" w:after="0"/>
              <w:ind w:hanging="360" w:left="720" w:right="0"/>
              <w:rPr>
                <w:rFonts w:ascii="Times New Roman" w:hAnsi="Times New Roman"/>
              </w:rPr>
            </w:pPr>
            <w:r>
              <w:rPr/>
              <w:t>rural road safety improvements.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4 — Reassess the scale of LMA</w:t>
            </w:r>
          </w:p>
          <w:p>
            <w:pPr>
              <w:pStyle w:val="NormalWeb"/>
              <w:bidi w:val="0"/>
              <w:spacing w:before="100" w:after="100"/>
              <w:rPr>
                <w:rFonts w:ascii="Times New Roman" w:hAnsi="Times New Roman"/>
              </w:rPr>
            </w:pPr>
            <w:r>
              <w:rPr/>
              <w:t>If education provision cannot be delivered, the allocation must be:</w:t>
            </w:r>
          </w:p>
          <w:p>
            <w:pPr>
              <w:pStyle w:val="NormalWeb"/>
              <w:numPr>
                <w:ilvl w:val="0"/>
                <w:numId w:val="4"/>
              </w:numPr>
              <w:tabs>
                <w:tab w:val="left" w:pos="720" w:leader="none"/>
              </w:tabs>
              <w:bidi w:val="0"/>
              <w:spacing w:before="100" w:after="0"/>
              <w:ind w:hanging="360" w:left="720" w:right="0"/>
              <w:rPr>
                <w:rFonts w:ascii="Times New Roman" w:hAnsi="Times New Roman"/>
              </w:rPr>
            </w:pPr>
            <w:r>
              <w:rPr/>
              <w:t>reduced,</w:t>
            </w:r>
          </w:p>
          <w:p>
            <w:pPr>
              <w:pStyle w:val="NormalWeb"/>
              <w:numPr>
                <w:ilvl w:val="0"/>
                <w:numId w:val="4"/>
              </w:numPr>
              <w:tabs>
                <w:tab w:val="left" w:pos="720" w:leader="none"/>
              </w:tabs>
              <w:bidi w:val="0"/>
              <w:spacing w:before="0" w:after="0"/>
              <w:ind w:hanging="360" w:left="720" w:right="0"/>
              <w:rPr>
                <w:rFonts w:ascii="Times New Roman" w:hAnsi="Times New Roman"/>
              </w:rPr>
            </w:pPr>
            <w:r>
              <w:rPr/>
              <w:t>rephased,</w:t>
            </w:r>
          </w:p>
          <w:p>
            <w:pPr>
              <w:pStyle w:val="NormalWeb"/>
              <w:numPr>
                <w:ilvl w:val="0"/>
                <w:numId w:val="4"/>
              </w:numPr>
              <w:tabs>
                <w:tab w:val="left" w:pos="720" w:leader="none"/>
              </w:tabs>
              <w:bidi w:val="0"/>
              <w:spacing w:before="0" w:after="0"/>
              <w:ind w:hanging="360" w:left="720" w:right="0"/>
              <w:rPr>
                <w:rFonts w:ascii="Times New Roman" w:hAnsi="Times New Roman"/>
              </w:rPr>
            </w:pPr>
            <w:r>
              <w:rPr/>
              <w:t>or replaced with less constrained alternatives.</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8. Conclusion</w:t>
            </w:r>
          </w:p>
          <w:p>
            <w:pPr>
              <w:pStyle w:val="NormalWeb"/>
              <w:bidi w:val="0"/>
              <w:spacing w:before="100" w:after="100"/>
              <w:rPr>
                <w:rFonts w:ascii="Times New Roman" w:hAnsi="Times New Roman"/>
              </w:rPr>
            </w:pPr>
            <w:r>
              <w:rPr/>
              <w:t xml:space="preserve">Proposal LMA is </w:t>
            </w:r>
            <w:r>
              <w:rPr>
                <w:rStyle w:val="Strong"/>
                <w:lang w:val="en-GB" w:eastAsia="en-GB" w:bidi="ar-SA"/>
              </w:rPr>
              <w:t>unsound</w:t>
            </w:r>
            <w:r>
              <w:rPr/>
              <w:t xml:space="preserve"> because the SWLP Reg 19 Publication Version provides </w:t>
            </w:r>
            <w:r>
              <w:rPr>
                <w:rStyle w:val="Strong"/>
                <w:lang w:val="en-GB" w:eastAsia="en-GB" w:bidi="ar-SA"/>
              </w:rPr>
              <w:t>no credible evidence</w:t>
            </w:r>
            <w:r>
              <w:rPr/>
              <w:t xml:space="preserve"> that education provision for a 4,000+ home settlement is deliverable, fundable, phased, or sustainable.</w:t>
            </w:r>
          </w:p>
          <w:p>
            <w:pPr>
              <w:pStyle w:val="NormalWeb"/>
              <w:bidi w:val="0"/>
              <w:spacing w:before="100" w:after="100"/>
              <w:rPr>
                <w:rFonts w:ascii="Times New Roman" w:hAnsi="Times New Roman"/>
              </w:rPr>
            </w:pPr>
            <w:r>
              <w:rPr/>
              <w:t>The allocation is:</w:t>
            </w:r>
          </w:p>
          <w:p>
            <w:pPr>
              <w:pStyle w:val="NormalWeb"/>
              <w:numPr>
                <w:ilvl w:val="0"/>
                <w:numId w:val="5"/>
              </w:numPr>
              <w:tabs>
                <w:tab w:val="left" w:pos="720" w:leader="none"/>
              </w:tabs>
              <w:bidi w:val="0"/>
              <w:spacing w:before="100" w:after="0"/>
              <w:ind w:hanging="360" w:left="720" w:right="0"/>
              <w:rPr>
                <w:rFonts w:ascii="Times New Roman" w:hAnsi="Times New Roman"/>
              </w:rPr>
            </w:pPr>
            <w:r>
              <w:rPr>
                <w:rStyle w:val="Strong"/>
                <w:lang w:val="en-GB" w:eastAsia="en-GB" w:bidi="ar-SA"/>
              </w:rPr>
              <w:t>Not Justified</w:t>
            </w:r>
            <w:r>
              <w:rPr/>
              <w:t>,</w:t>
            </w:r>
          </w:p>
          <w:p>
            <w:pPr>
              <w:pStyle w:val="NormalWeb"/>
              <w:numPr>
                <w:ilvl w:val="0"/>
                <w:numId w:val="5"/>
              </w:numPr>
              <w:tabs>
                <w:tab w:val="left" w:pos="720" w:leader="none"/>
              </w:tabs>
              <w:bidi w:val="0"/>
              <w:spacing w:before="0" w:after="0"/>
              <w:ind w:hanging="360" w:left="720" w:right="0"/>
              <w:rPr>
                <w:rFonts w:ascii="Times New Roman" w:hAnsi="Times New Roman"/>
              </w:rPr>
            </w:pPr>
            <w:r>
              <w:rPr>
                <w:rStyle w:val="Strong"/>
                <w:lang w:val="en-GB" w:eastAsia="en-GB" w:bidi="ar-SA"/>
              </w:rPr>
              <w:t>Not Effective</w:t>
            </w:r>
            <w:r>
              <w:rPr/>
              <w:t>,</w:t>
            </w:r>
          </w:p>
          <w:p>
            <w:pPr>
              <w:pStyle w:val="NormalWeb"/>
              <w:numPr>
                <w:ilvl w:val="0"/>
                <w:numId w:val="5"/>
              </w:numPr>
              <w:tabs>
                <w:tab w:val="left" w:pos="720" w:leader="none"/>
              </w:tabs>
              <w:bidi w:val="0"/>
              <w:spacing w:before="0" w:after="0"/>
              <w:ind w:hanging="360" w:left="720" w:right="0"/>
              <w:rPr>
                <w:rFonts w:ascii="Times New Roman" w:hAnsi="Times New Roman"/>
              </w:rPr>
            </w:pPr>
            <w:r>
              <w:rPr>
                <w:rStyle w:val="Strong"/>
                <w:lang w:val="en-GB" w:eastAsia="en-GB" w:bidi="ar-SA"/>
              </w:rPr>
              <w:t>Not Consistent with National Policy</w:t>
            </w:r>
            <w:r>
              <w:rPr/>
              <w:t>,</w:t>
            </w:r>
          </w:p>
          <w:p>
            <w:pPr>
              <w:pStyle w:val="NormalWeb"/>
              <w:numPr>
                <w:ilvl w:val="0"/>
                <w:numId w:val="5"/>
              </w:numPr>
              <w:tabs>
                <w:tab w:val="left" w:pos="720" w:leader="none"/>
              </w:tabs>
              <w:bidi w:val="0"/>
              <w:spacing w:before="0" w:after="100"/>
              <w:ind w:hanging="360" w:left="720" w:right="0"/>
              <w:rPr>
                <w:rFonts w:ascii="Times New Roman" w:hAnsi="Times New Roman"/>
              </w:rPr>
            </w:pPr>
            <w:r>
              <w:rPr>
                <w:rStyle w:val="Strong"/>
                <w:lang w:val="en-GB" w:eastAsia="en-GB" w:bidi="ar-SA"/>
              </w:rPr>
              <w:t>Not Compliant with Duty to Cooperate</w:t>
            </w:r>
            <w:r>
              <w:rPr/>
              <w:t>.</w:t>
            </w:r>
          </w:p>
          <w:p>
            <w:pPr>
              <w:pStyle w:val="NormalWeb"/>
              <w:bidi w:val="0"/>
              <w:spacing w:before="100" w:after="100"/>
              <w:rPr>
                <w:rFonts w:ascii="Times New Roman" w:hAnsi="Times New Roman"/>
              </w:rPr>
            </w:pPr>
            <w:r>
              <w:rPr/>
              <w:t>The requested modifications are essential to make the plan sound.</w:t>
            </w:r>
          </w:p>
          <w:p>
            <w:pPr>
              <w:pStyle w:val="Normal"/>
              <w:bidi w:val="0"/>
              <w:ind w:hanging="0" w:left="0" w:right="0"/>
              <w:rPr>
                <w:rFonts w:ascii="Times New Roman" w:hAnsi="Times New Roman"/>
              </w:rPr>
            </w:pPr>
            <w:r>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57" w:hRule="atLeast"/>
          <w:cantSplit/>
        </w:trPr>
        <w:tc>
          <w:tcPr>
            <w:tcW w:w="8568" w:type="dxa"/>
            <w:gridSpan w:val="5"/>
            <w:tcBorders/>
            <w:vAlign w:val="center"/>
          </w:tcPr>
          <w:p>
            <w:pPr>
              <w:pStyle w:val="Normal"/>
              <w:jc w:val="right"/>
              <w:rPr>
                <w:rFonts w:ascii="Arial" w:hAnsi="Arial" w:cs="Arial"/>
              </w:rPr>
            </w:pPr>
            <w:r>
              <w:rPr>
                <w:rFonts w:cs="Arial" w:ascii="Arial" w:hAnsi="Arial"/>
              </w:rPr>
            </w:r>
          </w:p>
          <w:p>
            <w:pPr>
              <w:pStyle w:val="Normal"/>
              <w:rPr>
                <w:rFonts w:ascii="Arial" w:hAnsi="Arial" w:cs="Arial"/>
                <w:i/>
                <w:iCs/>
                <w:color w:val="000000"/>
              </w:rPr>
            </w:pPr>
            <w:r>
              <w:rPr>
                <w:rFonts w:cs="Arial" w:ascii="Arial" w:hAnsi="Arial"/>
                <w:b/>
                <w:i/>
                <w:iCs/>
                <w:color w:val="000000"/>
              </w:rPr>
              <w:t>Please note:</w:t>
            </w:r>
            <w:r>
              <w:rPr>
                <w:rFonts w:cs="Arial" w:ascii="Arial" w:hAnsi="Arial"/>
                <w:i/>
                <w:iCs/>
                <w:color w:val="000000"/>
              </w:rPr>
              <w:t xml:space="preserve">  In your representation y</w:t>
            </w:r>
            <w:r>
              <w:rPr>
                <w:rFonts w:cs="Arial" w:ascii="Arial" w:hAnsi="Arial"/>
                <w:i/>
              </w:rPr>
              <w:t xml:space="preserve">ou </w:t>
            </w:r>
            <w:r>
              <w:rPr>
                <w:rFonts w:cs="Arial" w:ascii="Arial" w:hAnsi="Arial"/>
                <w:i/>
                <w:iCs/>
                <w:color w:val="000000"/>
              </w:rPr>
              <w:t>should provide succinctly all the evidence and supporting information necessary to support your representation and your suggested modification(s).  You should not assume that you will have a further opportunity to make submissions.</w:t>
            </w:r>
          </w:p>
          <w:p>
            <w:pPr>
              <w:pStyle w:val="Normal"/>
              <w:rPr>
                <w:rFonts w:ascii="Arial" w:hAnsi="Arial" w:cs="Arial"/>
              </w:rPr>
            </w:pPr>
            <w:r>
              <w:rPr>
                <w:rFonts w:cs="Arial" w:ascii="Arial" w:hAnsi="Arial"/>
              </w:rPr>
            </w:r>
          </w:p>
          <w:p>
            <w:pPr>
              <w:pStyle w:val="Normal"/>
              <w:rPr>
                <w:rFonts w:ascii="Arial" w:hAnsi="Arial" w:cs="Arial"/>
                <w:b/>
                <w:bCs/>
                <w:i/>
                <w:iCs/>
                <w:color w:val="000000"/>
              </w:rPr>
            </w:pPr>
            <w:r>
              <w:rPr>
                <w:rFonts w:cs="Arial" w:ascii="Arial" w:hAnsi="Arial"/>
                <w:b/>
                <w:bCs/>
                <w:i/>
                <w:iCs/>
                <w:color w:val="000000"/>
              </w:rPr>
              <w:t>After this stage, further submissions may only be made if invited by the Inspector, based on the matters and issues they identify for examination.</w:t>
            </w:r>
          </w:p>
          <w:p>
            <w:pPr>
              <w:pStyle w:val="Normal"/>
              <w:rPr>
                <w:rFonts w:ascii="Arial" w:hAnsi="Arial" w:cs="Arial"/>
                <w:b/>
                <w:bCs/>
                <w:i/>
              </w:rPr>
            </w:pPr>
            <w:r>
              <w:rPr>
                <w:rFonts w:cs="Arial" w:ascii="Arial" w:hAnsi="Arial"/>
                <w:b/>
                <w:bCs/>
                <w:i/>
              </w:rPr>
            </w:r>
          </w:p>
        </w:tc>
      </w:tr>
      <w:tr>
        <w:trPr>
          <w:trHeight w:val="540" w:hRule="atLeast"/>
          <w:cantSplit/>
        </w:trPr>
        <w:tc>
          <w:tcPr>
            <w:tcW w:w="8568" w:type="dxa"/>
            <w:gridSpan w:val="5"/>
            <w:tcBorders/>
            <w:vAlign w:val="center"/>
          </w:tcPr>
          <w:p>
            <w:pPr>
              <w:pStyle w:val="Normal"/>
              <w:rPr>
                <w:rFonts w:ascii="Arial" w:hAnsi="Arial" w:cs="Arial"/>
                <w:bCs/>
              </w:rPr>
            </w:pPr>
            <w:r>
              <w:rPr>
                <w:rFonts w:cs="Arial" w:ascii="Arial" w:hAnsi="Arial"/>
                <w:bCs/>
              </w:rPr>
              <w:t>5. If your representation is seeking a modification to the plan, do you consider it necessary to participate in examination hearing session(s)?</w:t>
            </w:r>
          </w:p>
        </w:tc>
      </w:tr>
      <w:tr>
        <w:trPr>
          <w:trHeight w:val="120" w:hRule="atLeast"/>
          <w:cantSplit/>
        </w:trPr>
        <w:tc>
          <w:tcPr>
            <w:tcW w:w="8568" w:type="dxa"/>
            <w:gridSpan w:val="5"/>
            <w:tcBorders/>
            <w:vAlign w:val="center"/>
          </w:tcPr>
          <w:p>
            <w:pPr>
              <w:pStyle w:val="Normal"/>
              <w:rPr>
                <w:rFonts w:ascii="Arial" w:hAnsi="Arial" w:cs="Arial"/>
              </w:rPr>
            </w:pPr>
            <w:r>
              <w:rPr>
                <w:rFonts w:cs="Arial" w:ascii="Arial" w:hAnsi="Arial"/>
              </w:rPr>
            </w:r>
          </w:p>
        </w:tc>
      </w:tr>
      <w:tr>
        <w:trPr>
          <w:trHeight w:val="284" w:hRule="atLeast"/>
          <w:cantSplit/>
        </w:trPr>
        <w:tc>
          <w:tcPr>
            <w:tcW w:w="233" w:type="dxa"/>
            <w:tcBorders>
              <w:right w:val="single" w:sz="8" w:space="0" w:color="000000"/>
            </w:tcBorders>
            <w:vAlign w:val="center"/>
          </w:tcPr>
          <w:p>
            <w:pPr>
              <w:pStyle w:val="Normal"/>
              <w:rPr>
                <w:rFonts w:ascii="Arial" w:hAnsi="Arial" w:cs="Arial"/>
              </w:rPr>
            </w:pPr>
            <w:r>
              <w:rPr>
                <w:rFonts w:cs="Arial" w:ascii="Arial" w:hAnsi="Arial"/>
              </w:rPr>
            </w:r>
          </w:p>
        </w:tc>
        <w:tc>
          <w:tcPr>
            <w:tcW w:w="1027"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3777" w:type="dxa"/>
            <w:tcBorders>
              <w:left w:val="single" w:sz="8" w:space="0" w:color="000000"/>
              <w:right w:val="single" w:sz="8" w:space="0" w:color="000000"/>
            </w:tcBorders>
            <w:vAlign w:val="center"/>
          </w:tcPr>
          <w:p>
            <w:pPr>
              <w:pStyle w:val="Normal"/>
              <w:rPr>
                <w:rFonts w:ascii="Arial" w:hAnsi="Arial" w:cs="Arial"/>
              </w:rPr>
            </w:pPr>
            <w:r>
              <w:rPr>
                <w:rFonts w:cs="Arial" w:ascii="Arial" w:hAnsi="Arial"/>
                <w:b/>
                <w:bCs/>
              </w:rPr>
              <w:t>No</w:t>
            </w:r>
            <w:r>
              <w:rPr>
                <w:rFonts w:cs="Arial" w:ascii="Arial" w:hAnsi="Arial"/>
              </w:rPr>
              <w:t>, I do not wish to</w:t>
            </w:r>
          </w:p>
          <w:p>
            <w:pPr>
              <w:pStyle w:val="Normal"/>
              <w:rPr>
                <w:rFonts w:ascii="Arial" w:hAnsi="Arial" w:cs="Arial"/>
              </w:rPr>
            </w:pPr>
            <w:r>
              <w:rPr>
                <w:rFonts w:cs="Arial" w:ascii="Arial" w:hAnsi="Arial"/>
              </w:rPr>
              <w:t>participate in</w:t>
            </w:r>
          </w:p>
          <w:p>
            <w:pPr>
              <w:pStyle w:val="Normal"/>
              <w:rPr>
                <w:rFonts w:ascii="Arial" w:hAnsi="Arial" w:cs="Arial"/>
              </w:rPr>
            </w:pPr>
            <w:r>
              <w:rPr>
                <w:rFonts w:cs="Arial" w:ascii="Arial" w:hAnsi="Arial"/>
              </w:rPr>
              <w:t>hearing session(s)</w:t>
            </w:r>
          </w:p>
        </w:tc>
        <w:tc>
          <w:tcPr>
            <w:tcW w:w="1045"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2486" w:type="dxa"/>
            <w:tcBorders>
              <w:left w:val="single" w:sz="8" w:space="0" w:color="000000"/>
            </w:tcBorders>
            <w:vAlign w:val="center"/>
          </w:tcPr>
          <w:p>
            <w:pPr>
              <w:pStyle w:val="Normal"/>
              <w:rPr>
                <w:rFonts w:ascii="Arial" w:hAnsi="Arial" w:cs="Arial"/>
              </w:rPr>
            </w:pPr>
            <w:r>
              <w:rPr>
                <w:rFonts w:cs="Arial" w:ascii="Arial" w:hAnsi="Arial"/>
                <w:b/>
                <w:bCs/>
              </w:rPr>
              <w:t>Yes</w:t>
            </w:r>
            <w:r>
              <w:rPr>
                <w:rFonts w:cs="Arial" w:ascii="Arial" w:hAnsi="Arial"/>
              </w:rPr>
              <w:t>, I wish to participate in</w:t>
            </w:r>
          </w:p>
          <w:p>
            <w:pPr>
              <w:pStyle w:val="Normal"/>
              <w:rPr>
                <w:rFonts w:ascii="Arial" w:hAnsi="Arial" w:cs="Arial"/>
              </w:rPr>
            </w:pPr>
            <w:r>
              <w:rPr>
                <w:rFonts w:cs="Arial" w:ascii="Arial" w:hAnsi="Arial"/>
              </w:rPr>
              <w:t>hearing session(s)</w:t>
            </w:r>
          </w:p>
        </w:tc>
      </w:tr>
      <w:tr>
        <w:trPr>
          <w:trHeight w:val="60" w:hRule="atLeast"/>
          <w:cantSplit/>
        </w:trPr>
        <w:tc>
          <w:tcPr>
            <w:tcW w:w="8568" w:type="dxa"/>
            <w:gridSpan w:val="5"/>
            <w:tcBorders/>
            <w:vAlign w:val="center"/>
          </w:tcPr>
          <w:p>
            <w:pPr>
              <w:pStyle w:val="Normal"/>
              <w:rPr>
                <w:rFonts w:ascii="Arial" w:hAnsi="Arial" w:cs="Arial"/>
                <w:i/>
                <w:iCs/>
              </w:rPr>
            </w:pPr>
            <w:r>
              <w:rPr>
                <w:rFonts w:cs="Arial" w:ascii="Arial" w:hAnsi="Arial"/>
                <w:i/>
                <w:iCs/>
              </w:rPr>
            </w:r>
          </w:p>
          <w:p>
            <w:pPr>
              <w:pStyle w:val="Normal"/>
              <w:rPr>
                <w:rFonts w:ascii="Arial" w:hAnsi="Arial" w:cs="Arial"/>
                <w:i/>
                <w:iCs/>
              </w:rPr>
            </w:pPr>
            <w:r>
              <w:rPr>
                <w:rFonts w:cs="Arial" w:ascii="Arial" w:hAnsi="Arial"/>
                <w:b/>
                <w:bCs/>
                <w:i/>
                <w:iCs/>
              </w:rPr>
              <w:t>Please note:</w:t>
            </w:r>
            <w:r>
              <w:rPr>
                <w:rFonts w:cs="Arial" w:ascii="Arial" w:hAnsi="Arial"/>
                <w:i/>
                <w:iCs/>
              </w:rPr>
              <w:t xml:space="preserve"> While this will provide an initial indication of your wish to participate in hearing sessions(s), you may be asked at a later point to confirm your request to participate.</w:t>
            </w:r>
          </w:p>
          <w:p>
            <w:pPr>
              <w:pStyle w:val="Normal"/>
              <w:rPr>
                <w:rFonts w:ascii="Arial" w:hAnsi="Arial" w:cs="Arial"/>
                <w:i/>
                <w:iCs/>
              </w:rPr>
            </w:pPr>
            <w:r>
              <w:rPr>
                <w:rFonts w:cs="Arial" w:ascii="Arial" w:hAnsi="Arial"/>
                <w:i/>
                <w:iCs/>
              </w:rPr>
            </w:r>
          </w:p>
        </w:tc>
      </w:tr>
      <w:tr>
        <w:trPr>
          <w:trHeight w:val="300" w:hRule="atLeast"/>
          <w:cantSplit/>
        </w:trPr>
        <w:tc>
          <w:tcPr>
            <w:tcW w:w="8568" w:type="dxa"/>
            <w:gridSpan w:val="5"/>
            <w:tcBorders/>
            <w:vAlign w:val="center"/>
          </w:tcPr>
          <w:p>
            <w:pPr>
              <w:pStyle w:val="Normal"/>
              <w:rPr>
                <w:rFonts w:ascii="Arial" w:hAnsi="Arial" w:cs="Arial"/>
              </w:rPr>
            </w:pPr>
            <w:r>
              <w:rPr>
                <w:rFonts w:cs="Arial" w:ascii="Arial" w:hAnsi="Arial"/>
              </w:rPr>
              <w:t>6.  If you wish to participate in the hearing session(s), please outline why you consider this to be necessary:</w:t>
            </w:r>
          </w:p>
          <w:p>
            <w:pPr>
              <w:pStyle w:val="Normal"/>
              <w:rPr>
                <w:rFonts w:ascii="Arial" w:hAnsi="Arial" w:cs="Arial"/>
              </w:rPr>
            </w:pPr>
            <w:r>
              <w:rPr>
                <w:rFonts w:cs="Arial" w:ascii="Arial" w:hAnsi="Arial"/>
              </w:rPr>
            </w:r>
          </w:p>
        </w:tc>
      </w:tr>
      <w:tr>
        <w:trPr>
          <w:trHeight w:val="180" w:hRule="atLeast"/>
          <w:cantSplit/>
        </w:trPr>
        <w:tc>
          <w:tcPr>
            <w:tcW w:w="8568" w:type="dxa"/>
            <w:gridSpan w:val="5"/>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300" w:hRule="atLeast"/>
          <w:cantSplit/>
        </w:trPr>
        <w:tc>
          <w:tcPr>
            <w:tcW w:w="8568" w:type="dxa"/>
            <w:gridSpan w:val="5"/>
            <w:tcBorders/>
            <w:vAlign w:val="center"/>
          </w:tcPr>
          <w:p>
            <w:pPr>
              <w:pStyle w:val="Normal"/>
              <w:rPr>
                <w:rFonts w:ascii="Arial" w:hAnsi="Arial" w:cs="Arial"/>
                <w:b/>
                <w:i/>
              </w:rPr>
            </w:pPr>
            <w:r>
              <w:rPr>
                <w:rFonts w:cs="Arial" w:ascii="Arial" w:hAnsi="Arial"/>
                <w:b/>
                <w:i/>
              </w:rPr>
            </w:r>
          </w:p>
          <w:p>
            <w:pPr>
              <w:pStyle w:val="Normal"/>
              <w:rPr>
                <w:rFonts w:ascii="Arial" w:hAnsi="Arial" w:cs="Arial"/>
              </w:rPr>
            </w:pPr>
            <w:r>
              <w:rPr>
                <w:rFonts w:cs="Arial" w:ascii="Arial" w:hAnsi="Arial"/>
                <w:b/>
                <w:i/>
              </w:rPr>
              <w:t>Please note</w:t>
            </w:r>
            <w:r>
              <w:rPr>
                <w:rFonts w:cs="Arial" w:ascii="Arial" w:hAnsi="Arial"/>
                <w:i/>
              </w:rPr>
              <w:t xml:space="preserve"> the Inspector will determine the most appropriate procedure to adopt to hear those who have indicated that they wish to participate in</w:t>
            </w:r>
          </w:p>
          <w:p>
            <w:pPr>
              <w:pStyle w:val="Normal"/>
              <w:rPr>
                <w:rFonts w:ascii="Arial" w:hAnsi="Arial" w:cs="Arial"/>
                <w:i/>
              </w:rPr>
            </w:pPr>
            <w:r>
              <w:rPr>
                <w:rFonts w:cs="Arial" w:ascii="Arial" w:hAnsi="Arial"/>
                <w:i/>
              </w:rPr>
              <w:t>hearing session(s).  You may be asked to confirm your wish to participate when the Inspector has identified the matters and issues for examination.</w:t>
            </w:r>
          </w:p>
        </w:tc>
      </w:tr>
    </w:tbl>
    <w:p>
      <w:pPr>
        <w:pStyle w:val="Normal"/>
        <w:rPr>
          <w:rFonts w:ascii="Arial" w:hAnsi="Arial" w:cs="Arial"/>
        </w:rPr>
      </w:pPr>
      <w:r>
        <w:rPr>
          <w:rFonts w:cs="Arial" w:ascii="Arial" w:hAnsi="Arial"/>
        </w:rPr>
      </w:r>
    </w:p>
    <w:sectPr>
      <w:type w:val="nextPage"/>
      <w:pgSz w:w="11906" w:h="16838"/>
      <w:pgMar w:left="1440" w:right="1440" w:gutter="0" w:header="0" w:top="993"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OpenSymbol">
    <w:altName w:val="Arial Unicode MS"/>
    <w:charset w:val="02"/>
    <w:family w:val="auto"/>
    <w:pitch w:val="default"/>
  </w:font>
  <w:font w:name="Liberation Sans">
    <w:altName w:val="Arial"/>
    <w:charset w:val="00"/>
    <w:family w:val="swiss"/>
    <w:pitch w:val="variable"/>
  </w:font>
  <w:font w:name="Courier New">
    <w:charset w:val="01"/>
    <w:family w:val="modern"/>
    <w:pitch w:val="fixed"/>
  </w:font>
  <w:font w:name="Wingdings">
    <w:charset w:val="02"/>
    <w:family w:val="auto"/>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7b7c"/>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2">
    <w:name w:val="heading 2"/>
    <w:basedOn w:val="Heading"/>
    <w:next w:val="BodyText"/>
    <w:qFormat/>
    <w:pPr>
      <w:numPr>
        <w:ilvl w:val="1"/>
        <w:numId w:val="1"/>
      </w:numPr>
      <w:spacing w:before="200" w:after="120"/>
      <w:outlineLvl w:val="1"/>
    </w:pPr>
    <w:rPr>
      <w:b/>
      <w:bCs/>
      <w:sz w:val="32"/>
      <w:szCs w:val="32"/>
    </w:rPr>
  </w:style>
  <w:style w:type="paragraph" w:styleId="Heading3">
    <w:name w:val="heading 3"/>
    <w:basedOn w:val="Heading"/>
    <w:next w:val="BodyText"/>
    <w:qFormat/>
    <w:pPr>
      <w:numPr>
        <w:ilvl w:val="2"/>
        <w:numId w:val="1"/>
      </w:numPr>
      <w:spacing w:before="140" w:after="120"/>
      <w:outlineLvl w:val="2"/>
    </w:pPr>
    <w:rPr>
      <w:b/>
      <w:bCs/>
      <w:sz w:val="28"/>
      <w:szCs w:val="28"/>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qFormat/>
    <w:rsid w:val="00ae2f13"/>
    <w:rPr>
      <w:rFonts w:ascii="Verdana" w:hAnsi="Verdana" w:eastAsia="Times New Roman" w:cs="Times New Roman"/>
      <w:szCs w:val="20"/>
      <w:lang w:eastAsia="en-GB"/>
    </w:rPr>
  </w:style>
  <w:style w:type="character" w:styleId="CommentReference">
    <w:name w:val="annotation reference"/>
    <w:basedOn w:val="DefaultParagraphFont"/>
    <w:uiPriority w:val="99"/>
    <w:semiHidden/>
    <w:unhideWhenUsed/>
    <w:qFormat/>
    <w:rsid w:val="00cc7e25"/>
    <w:rPr>
      <w:sz w:val="16"/>
      <w:szCs w:val="16"/>
    </w:rPr>
  </w:style>
  <w:style w:type="character" w:styleId="CommentTextChar" w:customStyle="1">
    <w:name w:val="Comment Text Char"/>
    <w:basedOn w:val="DefaultParagraphFont"/>
    <w:link w:val="CommentText"/>
    <w:uiPriority w:val="99"/>
    <w:qFormat/>
    <w:rsid w:val="00cc7e25"/>
    <w:rPr>
      <w:rFonts w:ascii="Times New Roman" w:hAnsi="Times New Roman" w:eastAsia="Times New Roman" w:cs="Times New Roman"/>
      <w:sz w:val="20"/>
      <w:szCs w:val="20"/>
      <w:lang w:eastAsia="en-GB"/>
    </w:rPr>
  </w:style>
  <w:style w:type="character" w:styleId="CommentSubjectChar" w:customStyle="1">
    <w:name w:val="Comment Subject Char"/>
    <w:basedOn w:val="CommentTextChar"/>
    <w:link w:val="annotationsubject"/>
    <w:uiPriority w:val="99"/>
    <w:semiHidden/>
    <w:qFormat/>
    <w:rsid w:val="00cc7e25"/>
    <w:rPr>
      <w:rFonts w:ascii="Times New Roman" w:hAnsi="Times New Roman" w:eastAsia="Times New Roman" w:cs="Times New Roman"/>
      <w:b/>
      <w:bCs/>
      <w:sz w:val="20"/>
      <w:szCs w:val="20"/>
      <w:lang w:eastAsia="en-GB"/>
    </w:rPr>
  </w:style>
  <w:style w:type="character" w:styleId="Hyperlink">
    <w:name w:val="Hyperlink"/>
    <w:basedOn w:val="DefaultParagraphFont"/>
    <w:uiPriority w:val="99"/>
    <w:unhideWhenUsed/>
    <w:rPr>
      <w:color w:themeColor="hyperlink" w:val="0563C1"/>
      <w:u w:val="single"/>
    </w:rPr>
  </w:style>
  <w:style w:type="character" w:styleId="HeaderChar" w:customStyle="1">
    <w:name w:val="Header Char"/>
    <w:basedOn w:val="DefaultParagraphFont"/>
    <w:link w:val="Header"/>
    <w:uiPriority w:val="99"/>
    <w:qFormat/>
    <w:rsid w:val="00087f39"/>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qFormat/>
    <w:rsid w:val="00087f39"/>
    <w:rPr>
      <w:rFonts w:ascii="Times New Roman" w:hAnsi="Times New Roman" w:eastAsia="Times New Roman" w:cs="Times New Roman"/>
      <w:sz w:val="24"/>
      <w:szCs w:val="24"/>
      <w:lang w:eastAsia="en-GB"/>
    </w:rPr>
  </w:style>
  <w:style w:type="character" w:styleId="Strong">
    <w:name w:val="Strong"/>
    <w:qFormat/>
    <w:rPr>
      <w:b/>
      <w:bCs/>
    </w:rPr>
  </w:style>
  <w:style w:type="character" w:styleId="Emphasis">
    <w:name w:val="Emphasis"/>
    <w:qFormat/>
    <w:rPr>
      <w:i/>
      <w:iCs/>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rsid w:val="00ae2f13"/>
    <w:pPr>
      <w:jc w:val="both"/>
    </w:pPr>
    <w:rPr>
      <w:rFonts w:ascii="Verdana" w:hAnsi="Verdana"/>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link w:val="CommentTextChar"/>
    <w:uiPriority w:val="99"/>
    <w:unhideWhenUsed/>
    <w:rsid w:val="00cc7e25"/>
    <w:pPr/>
    <w:rPr>
      <w:sz w:val="20"/>
      <w:szCs w:val="20"/>
    </w:rPr>
  </w:style>
  <w:style w:type="paragraph" w:styleId="annotationsubject">
    <w:name w:val="annotation subject"/>
    <w:basedOn w:val="CommentText"/>
    <w:next w:val="CommentText"/>
    <w:link w:val="CommentSubjectChar"/>
    <w:uiPriority w:val="99"/>
    <w:semiHidden/>
    <w:unhideWhenUsed/>
    <w:qFormat/>
    <w:rsid w:val="00cc7e25"/>
    <w:pPr/>
    <w:rPr>
      <w:b/>
      <w:bCs/>
    </w:rPr>
  </w:style>
  <w:style w:type="paragraph" w:styleId="HeaderandFooter">
    <w:name w:val="Header and Footer"/>
    <w:basedOn w:val="Normal"/>
    <w:qFormat/>
    <w:pPr/>
    <w:rPr/>
  </w:style>
  <w:style w:type="paragraph" w:styleId="Header">
    <w:name w:val="header"/>
    <w:basedOn w:val="Normal"/>
    <w:link w:val="HeaderChar"/>
    <w:uiPriority w:val="99"/>
    <w:unhideWhenUsed/>
    <w:rsid w:val="00087f39"/>
    <w:pPr>
      <w:tabs>
        <w:tab w:val="clear" w:pos="720"/>
        <w:tab w:val="center" w:pos="4513" w:leader="none"/>
        <w:tab w:val="right" w:pos="9026" w:leader="none"/>
      </w:tabs>
    </w:pPr>
    <w:rPr/>
  </w:style>
  <w:style w:type="paragraph" w:styleId="Footer">
    <w:name w:val="footer"/>
    <w:basedOn w:val="Normal"/>
    <w:link w:val="FooterChar"/>
    <w:uiPriority w:val="99"/>
    <w:unhideWhenUsed/>
    <w:rsid w:val="00087f39"/>
    <w:pPr>
      <w:tabs>
        <w:tab w:val="clear" w:pos="720"/>
        <w:tab w:val="center" w:pos="4513" w:leader="none"/>
        <w:tab w:val="right" w:pos="9026" w:leader="none"/>
      </w:tabs>
    </w:pPr>
    <w:rPr/>
  </w:style>
  <w:style w:type="paragraph" w:styleId="NormalWeb">
    <w:name w:val="Normal (Web)"/>
    <w:basedOn w:val="Normal"/>
    <w:qFormat/>
    <w:pPr>
      <w:widowControl/>
      <w:spacing w:beforeAutospacing="1" w:afterAutospacing="1"/>
      <w:ind w:hanging="0" w:left="0" w:right="0"/>
      <w:jc w:val="left"/>
      <w:textAlignment w:val="auto"/>
    </w:pPr>
    <w:rPr>
      <w:rFonts w:cs="Times New Roman"/>
      <w:sz w:val="24"/>
      <w:szCs w:val="24"/>
      <w:lang w:val="en-GB" w:eastAsia="en-GB"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9c6d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987b5a-735a-493d-9b96-43053369da55">
      <Terms xmlns="http://schemas.microsoft.com/office/infopath/2007/PartnerControls"/>
    </lcf76f155ced4ddcb4097134ff3c332f>
    <TaxCatchAll xmlns="2f900f5a-70f7-4bde-ace1-8cb48f068ebe" xsi:nil="true"/>
    <Number xmlns="55987b5a-735a-493d-9b96-43053369d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487D8E9B26DD44BD31E9B322495565" ma:contentTypeVersion="21" ma:contentTypeDescription="Create a new document." ma:contentTypeScope="" ma:versionID="14981841dc94cc88b8035c27de534d32">
  <xsd:schema xmlns:xsd="http://www.w3.org/2001/XMLSchema" xmlns:xs="http://www.w3.org/2001/XMLSchema" xmlns:p="http://schemas.microsoft.com/office/2006/metadata/properties" xmlns:ns2="55987b5a-735a-493d-9b96-43053369da55" xmlns:ns3="2f900f5a-70f7-4bde-ace1-8cb48f068ebe" targetNamespace="http://schemas.microsoft.com/office/2006/metadata/properties" ma:root="true" ma:fieldsID="4b22fbf233bdb8b54ad438e97762c716" ns2:_="" ns3:_="">
    <xsd:import namespace="55987b5a-735a-493d-9b96-43053369da55"/>
    <xsd:import namespace="2f900f5a-70f7-4bde-ace1-8cb48f068e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Number"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87b5a-735a-493d-9b96-43053369d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umber" ma:index="15" nillable="true" ma:displayName="Number" ma:internalName="Number">
      <xsd:simpleType>
        <xsd:restriction base="dms:Number"/>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3e2137e-0d97-4c97-ad1d-8cd7a40b0d37"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00f5a-70f7-4bde-ace1-8cb48f068eb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df3383-2346-4f0e-bf3b-800976863965}" ma:internalName="TaxCatchAll" ma:showField="CatchAllData" ma:web="2f900f5a-70f7-4bde-ace1-8cb48f068eb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F2F0F-2207-4296-83A7-2981EFA9EE72}">
  <ds:schemaRefs>
    <ds:schemaRef ds:uri="http://schemas.microsoft.com/office/2006/metadata/properties"/>
    <ds:schemaRef ds:uri="http://schemas.microsoft.com/office/infopath/2007/PartnerControls"/>
    <ds:schemaRef ds:uri="55987b5a-735a-493d-9b96-43053369da55"/>
    <ds:schemaRef ds:uri="2f900f5a-70f7-4bde-ace1-8cb48f068ebe"/>
  </ds:schemaRefs>
</ds:datastoreItem>
</file>

<file path=customXml/itemProps2.xml><?xml version="1.0" encoding="utf-8"?>
<ds:datastoreItem xmlns:ds="http://schemas.openxmlformats.org/officeDocument/2006/customXml" ds:itemID="{874EE9A9-9D52-44A6-8EDF-292B586FC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87b5a-735a-493d-9b96-43053369da55"/>
    <ds:schemaRef ds:uri="2f900f5a-70f7-4bde-ace1-8cb48f068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544C5-1BEB-4476-931D-7B9BB75AB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Application>LibreOffice/26.2.5.2$Windows_X86_64 LibreOffice_project/cd7284b4cbbfeb507e630c1aac019f4157393acb</Application>
  <AppVersion>15.0000</AppVersion>
  <Pages>8</Pages>
  <Words>1663</Words>
  <Characters>9070</Characters>
  <CharactersWithSpaces>10481</CharactersWithSpaces>
  <Paragraphs>215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2026-04-23T10:41:00Z</dcterms:created>
  <dc:creator>Atwell, Rachel</dc:creator>
  <dc:description/>
  <dc:language>en-GB</dc:language>
  <cp:lastModifiedBy/>
  <dcterms:modified xsi:type="dcterms:W3CDTF">2026-08-28T13:59:02Z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0x01010013487D8E9B26DD44BD31E9B322495565</vt:lpwstr>
  </property>
  <property fmtid="{D5CDD505-2E9C-101B-9397-08002B2CF9AE}" pid="3" name="MSIP_Label_c6f64b5a-70e3-4d13-98dc-9c006fabbb8e_ActionId">
    <vt:lpwstr>21b76bad-51f2-4655-985e-56d6a0f415f2</vt:lpwstr>
  </property>
  <property fmtid="{D5CDD505-2E9C-101B-9397-08002B2CF9AE}" pid="4" name="MSIP_Label_c6f64b5a-70e3-4d13-98dc-9c006fabbb8e_ContentBits">
    <vt:lpwstr>0</vt:lpwstr>
  </property>
  <property fmtid="{D5CDD505-2E9C-101B-9397-08002B2CF9AE}" pid="5" name="MSIP_Label_c6f64b5a-70e3-4d13-98dc-9c006fabbb8e_Enabled">
    <vt:lpwstr>true</vt:lpwstr>
  </property>
  <property fmtid="{D5CDD505-2E9C-101B-9397-08002B2CF9AE}" pid="6" name="MSIP_Label_c6f64b5a-70e3-4d13-98dc-9c006fabbb8e_Method">
    <vt:lpwstr>Standard</vt:lpwstr>
  </property>
  <property fmtid="{D5CDD505-2E9C-101B-9397-08002B2CF9AE}" pid="7" name="MSIP_Label_c6f64b5a-70e3-4d13-98dc-9c006fabbb8e_Name">
    <vt:lpwstr>Not Classified</vt:lpwstr>
  </property>
  <property fmtid="{D5CDD505-2E9C-101B-9397-08002B2CF9AE}" pid="8" name="MSIP_Label_c6f64b5a-70e3-4d13-98dc-9c006fabbb8e_SetDate">
    <vt:lpwstr>2026-04-23T10:41:13Z</vt:lpwstr>
  </property>
  <property fmtid="{D5CDD505-2E9C-101B-9397-08002B2CF9AE}" pid="9" name="MSIP_Label_c6f64b5a-70e3-4d13-98dc-9c006fabbb8e_SiteId">
    <vt:lpwstr>a299760a-16eb-4f36-84d7-1c6fdd63f547</vt:lpwstr>
  </property>
  <property fmtid="{D5CDD505-2E9C-101B-9397-08002B2CF9AE}" pid="10" name="MSIP_Label_c6f64b5a-70e3-4d13-98dc-9c006fabbb8e_Tag">
    <vt:lpwstr>10, 3, 0, 1</vt:lpwstr>
  </property>
  <property fmtid="{D5CDD505-2E9C-101B-9397-08002B2CF9AE}" pid="11" name="MediaServiceImageTags">
    <vt:lpwstr/>
  </property>
</Properties>
</file>