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bidi w:val="0"/>
              <w:ind w:hanging="0" w:left="0" w:right="0"/>
              <w:rPr>
                <w:rFonts w:ascii="Times New Roman" w:hAnsi="Times New Roman"/>
              </w:rPr>
            </w:pPr>
            <w:r>
              <w:rPr/>
              <w:t>Proposal LMA is located in an area with extremely limited existing education provision. Local primary schools are small and constrained, and there is no available secondary school capacity.  Experience with the previously promised school capacity provision within the existing settlement at Long Marston Airfield shows the current strategy of tying delivery to housing triggers is ill though out and ineffective.  The larger settlement just promises more of the same. The SWLP Reg 19 provides no pupil yield analysis, unclear mapping of potential primary or secondary school land allocations, no funding strategy, no phasing triggers, no safe routes to school assessment, and no cross</w:t>
              <w:noBreakHyphen/>
              <w:t>border education modelling despite 1,000+ homes planned for Mickleton. LMA would generate car</w:t>
              <w:noBreakHyphen/>
              <w:t>dependent school travel on rural roads and overwhelm existing provision. The allocation is therefore not justified, not effective, and not consistent with national policy (NPPF §§31, 35, 104–110).</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w:t>
            </w:r>
            <w:r>
              <w:rPr>
                <w:rFonts w:cs="Arial" w:ascii="Arial" w:hAnsi="Arial"/>
              </w:rPr>
              <w:t>ro</w:t>
            </w:r>
            <w:r>
              <w:rPr>
                <w:rFonts w:cs="Arial" w:ascii="Arial" w:hAnsi="Arial"/>
              </w:rPr>
              <w:t>vide for review:</w:t>
            </w:r>
          </w:p>
          <w:p>
            <w:pPr>
              <w:pStyle w:val="Normal"/>
              <w:rPr>
                <w:rFonts w:ascii="Arial" w:hAnsi="Arial" w:cs="Arial"/>
              </w:rPr>
            </w:pPr>
            <w:r>
              <w:rPr>
                <w:rFonts w:cs="Arial" w:ascii="Arial" w:hAnsi="Arial"/>
              </w:rPr>
            </w:r>
          </w:p>
          <w:p>
            <w:pPr>
              <w:pStyle w:val="Normal"/>
              <w:numPr>
                <w:ilvl w:val="0"/>
                <w:numId w:val="2"/>
              </w:numPr>
              <w:rPr>
                <w:rFonts w:ascii="Arial" w:hAnsi="Arial" w:cs="Arial"/>
              </w:rPr>
            </w:pPr>
            <w:r>
              <w:rPr>
                <w:rFonts w:cs="Arial" w:ascii="Arial" w:hAnsi="Arial"/>
              </w:rPr>
              <w:t xml:space="preserve">pupil yield analysis, </w:t>
            </w:r>
          </w:p>
          <w:p>
            <w:pPr>
              <w:pStyle w:val="Normal"/>
              <w:numPr>
                <w:ilvl w:val="0"/>
                <w:numId w:val="2"/>
              </w:numPr>
              <w:rPr>
                <w:rFonts w:ascii="Arial" w:hAnsi="Arial" w:cs="Arial"/>
              </w:rPr>
            </w:pPr>
            <w:r>
              <w:rPr>
                <w:rFonts w:cs="Arial" w:ascii="Arial" w:hAnsi="Arial"/>
              </w:rPr>
              <w:t xml:space="preserve">clear mapping of potential primary or secondary school land allocations, </w:t>
            </w:r>
          </w:p>
          <w:p>
            <w:pPr>
              <w:pStyle w:val="Normal"/>
              <w:numPr>
                <w:ilvl w:val="0"/>
                <w:numId w:val="2"/>
              </w:numPr>
              <w:rPr>
                <w:rFonts w:ascii="Arial" w:hAnsi="Arial" w:cs="Arial"/>
              </w:rPr>
            </w:pPr>
            <w:r>
              <w:rPr>
                <w:rFonts w:cs="Arial" w:ascii="Arial" w:hAnsi="Arial"/>
              </w:rPr>
              <w:t xml:space="preserve">funding strategy, </w:t>
            </w:r>
          </w:p>
          <w:p>
            <w:pPr>
              <w:pStyle w:val="Normal"/>
              <w:numPr>
                <w:ilvl w:val="0"/>
                <w:numId w:val="2"/>
              </w:numPr>
              <w:rPr>
                <w:rFonts w:ascii="Arial" w:hAnsi="Arial" w:cs="Arial"/>
              </w:rPr>
            </w:pPr>
            <w:r>
              <w:rPr>
                <w:rFonts w:cs="Arial" w:ascii="Arial" w:hAnsi="Arial"/>
              </w:rPr>
              <w:t>phasing triggers,</w:t>
            </w:r>
          </w:p>
          <w:p>
            <w:pPr>
              <w:pStyle w:val="Normal"/>
              <w:numPr>
                <w:ilvl w:val="0"/>
                <w:numId w:val="2"/>
              </w:numPr>
              <w:rPr>
                <w:rFonts w:ascii="Arial" w:hAnsi="Arial" w:cs="Arial"/>
              </w:rPr>
            </w:pPr>
            <w:r>
              <w:rPr>
                <w:rFonts w:cs="Arial" w:ascii="Arial" w:hAnsi="Arial"/>
              </w:rPr>
              <w:t xml:space="preserve">safe routes to school assessment, </w:t>
            </w:r>
          </w:p>
          <w:p>
            <w:pPr>
              <w:pStyle w:val="Normal"/>
              <w:numPr>
                <w:ilvl w:val="0"/>
                <w:numId w:val="2"/>
              </w:numPr>
              <w:rPr>
                <w:rFonts w:ascii="Arial" w:hAnsi="Arial" w:cs="Arial"/>
              </w:rPr>
            </w:pPr>
            <w:r>
              <w:rPr>
                <w:rFonts w:cs="Arial" w:ascii="Arial" w:hAnsi="Arial"/>
              </w:rPr>
              <w:t>cross</w:t>
              <w:noBreakHyphen/>
              <w:t>border education modelling</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If </w:t>
            </w:r>
            <w:r>
              <w:rPr>
                <w:rFonts w:cs="Arial" w:ascii="Arial" w:hAnsi="Arial"/>
              </w:rPr>
              <w:t>these cannot be supplied then:</w:t>
            </w:r>
          </w:p>
          <w:p>
            <w:pPr>
              <w:pStyle w:val="Normal"/>
              <w:rPr>
                <w:rFonts w:ascii="Arial" w:hAnsi="Arial" w:cs="Arial"/>
              </w:rPr>
            </w:pPr>
            <w:r>
              <w:rPr>
                <w:rFonts w:cs="Arial" w:ascii="Arial" w:hAnsi="Arial"/>
              </w:rPr>
            </w:r>
          </w:p>
          <w:p>
            <w:pPr>
              <w:pStyle w:val="Normal"/>
              <w:numPr>
                <w:ilvl w:val="0"/>
                <w:numId w:val="3"/>
              </w:numPr>
              <w:rPr/>
            </w:pPr>
            <w:r>
              <w:rPr>
                <w:rFonts w:cs="Arial" w:ascii="Arial" w:hAnsi="Arial"/>
              </w:rPr>
              <w:t>Remove the LMA from the South Warwickshire Local Plan.</w:t>
            </w:r>
          </w:p>
          <w:p>
            <w:pPr>
              <w:pStyle w:val="Normal"/>
              <w:numPr>
                <w:ilvl w:val="0"/>
                <w:numId w:val="3"/>
              </w:numPr>
              <w:rPr>
                <w:rFonts w:ascii="Arial" w:hAnsi="Arial" w:cs="Arial"/>
              </w:rPr>
            </w:pPr>
            <w:r>
              <w:rPr>
                <w:rFonts w:cs="Arial" w:ascii="Arial" w:hAnsi="Arial"/>
              </w:rPr>
              <w:t>Restore the planned development back to the agreed Garden Village scale.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LibreOffice/26.2.5.2$Windows_X86_64 LibreOffice_project/cd7284b4cbbfeb507e630c1aac019f4157393acb</Application>
  <AppVersion>15.0000</AppVersion>
  <Pages>5</Pages>
  <Words>1037</Words>
  <Characters>5576</Characters>
  <CharactersWithSpaces>6535</CharactersWithSpaces>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2026-08-28T22:01:35Z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