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7"/>
        <w:gridCol w:w="1630"/>
        <w:gridCol w:w="673"/>
        <w:gridCol w:w="713"/>
        <w:gridCol w:w="283"/>
        <w:gridCol w:w="284"/>
        <w:gridCol w:w="1924"/>
        <w:gridCol w:w="1107"/>
        <w:gridCol w:w="269"/>
      </w:tblGrid>
      <w:tr>
        <w:trPr>
          <w:trHeight w:val="1104" w:hRule="atLeast"/>
          <w:cantSplit/>
        </w:trPr>
        <w:tc>
          <w:tcPr>
            <w:tcW w:w="2163"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7"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3" w:type="dxa"/>
            <w:gridSpan w:val="2"/>
            <w:vMerge w:val="continue"/>
            <w:tcBorders/>
            <w:vAlign w:val="bottom"/>
          </w:tcPr>
          <w:p>
            <w:pPr>
              <w:pStyle w:val="Normal"/>
              <w:ind w:firstLine="3" w:left="-3"/>
              <w:rPr>
                <w:rFonts w:ascii="Arial" w:hAnsi="Arial" w:cs="Arial"/>
              </w:rPr>
            </w:pPr>
            <w:r>
              <w:rPr>
                <w:rFonts w:cs="Arial" w:ascii="Arial" w:hAnsi="Arial"/>
              </w:rPr>
            </w:r>
          </w:p>
        </w:tc>
        <w:tc>
          <w:tcPr>
            <w:tcW w:w="5507"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3" w:type="dxa"/>
            <w:gridSpan w:val="2"/>
            <w:vMerge w:val="continue"/>
            <w:tcBorders/>
            <w:vAlign w:val="bottom"/>
          </w:tcPr>
          <w:p>
            <w:pPr>
              <w:pStyle w:val="Normal"/>
              <w:ind w:firstLine="3" w:left="-3"/>
              <w:rPr>
                <w:rFonts w:ascii="Arial" w:hAnsi="Arial" w:cs="Arial"/>
              </w:rPr>
            </w:pPr>
            <w:r>
              <w:rPr>
                <w:rFonts w:cs="Arial" w:ascii="Arial" w:hAnsi="Arial"/>
              </w:rPr>
            </w:r>
          </w:p>
        </w:tc>
        <w:tc>
          <w:tcPr>
            <w:tcW w:w="5507"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7"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3" w:type="dxa"/>
            <w:tcBorders>
              <w:top w:val="double" w:sz="4" w:space="0" w:color="000000"/>
            </w:tcBorders>
            <w:vAlign w:val="bottom"/>
          </w:tcPr>
          <w:p>
            <w:pPr>
              <w:pStyle w:val="BodyText"/>
              <w:rPr>
                <w:rFonts w:ascii="Arial" w:hAnsi="Arial" w:cs="Arial"/>
              </w:rPr>
            </w:pPr>
            <w:r>
              <w:rPr>
                <w:rFonts w:cs="Arial" w:ascii="Arial" w:hAnsi="Arial"/>
              </w:rPr>
            </w:r>
          </w:p>
        </w:tc>
        <w:tc>
          <w:tcPr>
            <w:tcW w:w="713"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7"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3"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7"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9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1387"/>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87"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9"/>
        <w:gridCol w:w="1668"/>
        <w:gridCol w:w="1341"/>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9"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668"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Style w:val="Strong"/>
                <w:rFonts w:cs="Arial"/>
                <w:lang w:val="en-GB" w:eastAsia="en-GB" w:bidi="ar-SA"/>
              </w:rPr>
              <w:t>NPPF §176–177, §31, §35</w:t>
            </w:r>
          </w:p>
        </w:tc>
        <w:tc>
          <w:tcPr>
            <w:tcW w:w="1341"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9" w:type="dxa"/>
            <w:tcBorders/>
          </w:tcPr>
          <w:p>
            <w:pPr>
              <w:pStyle w:val="Normal"/>
              <w:jc w:val="right"/>
              <w:rPr>
                <w:rFonts w:ascii="Arial" w:hAnsi="Arial" w:cs="Arial"/>
              </w:rPr>
            </w:pPr>
            <w:r>
              <w:rPr>
                <w:rFonts w:cs="Arial" w:ascii="Arial" w:hAnsi="Arial"/>
              </w:rPr>
            </w:r>
          </w:p>
        </w:tc>
        <w:tc>
          <w:tcPr>
            <w:tcW w:w="1668"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341"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9"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668"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341"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9" w:type="dxa"/>
            <w:tcBorders/>
          </w:tcPr>
          <w:p>
            <w:pPr>
              <w:pStyle w:val="Normal"/>
              <w:jc w:val="right"/>
              <w:rPr>
                <w:rFonts w:ascii="Arial" w:hAnsi="Arial" w:cs="Arial"/>
              </w:rPr>
            </w:pPr>
            <w:r>
              <w:rPr>
                <w:rFonts w:cs="Arial" w:ascii="Arial" w:hAnsi="Arial"/>
              </w:rPr>
            </w:r>
          </w:p>
        </w:tc>
        <w:tc>
          <w:tcPr>
            <w:tcW w:w="1668" w:type="dxa"/>
            <w:tcBorders>
              <w:top w:val="single" w:sz="8" w:space="0" w:color="000000"/>
            </w:tcBorders>
          </w:tcPr>
          <w:p>
            <w:pPr>
              <w:pStyle w:val="Normal"/>
              <w:rPr>
                <w:rFonts w:ascii="Arial" w:hAnsi="Arial" w:cs="Arial"/>
              </w:rPr>
            </w:pPr>
            <w:r>
              <w:rPr>
                <w:rFonts w:cs="Arial" w:ascii="Arial" w:hAnsi="Arial"/>
              </w:rPr>
            </w:r>
          </w:p>
        </w:tc>
        <w:tc>
          <w:tcPr>
            <w:tcW w:w="1341"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No</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provides </w:t>
            </w:r>
            <w:r>
              <w:rPr>
                <w:rStyle w:val="Strong"/>
                <w:lang w:val="en-GB" w:eastAsia="en-GB" w:bidi="ar-SA"/>
              </w:rPr>
              <w:t>no assessment</w:t>
            </w:r>
            <w:r>
              <w:rPr/>
              <w:t xml:space="preserve"> of how a town</w:t>
              <w:noBreakHyphen/>
              <w:t xml:space="preserve">scale settlement at LMA will affect </w:t>
            </w:r>
            <w:r>
              <w:rPr>
                <w:rStyle w:val="Strong"/>
                <w:lang w:val="en-GB" w:eastAsia="en-GB" w:bidi="ar-SA"/>
              </w:rPr>
              <w:t>key viewpoints from the Cotswolds National Landscape (AONB)</w:t>
            </w:r>
            <w:r>
              <w:rPr/>
              <w:t>.</w:t>
            </w:r>
          </w:p>
          <w:p>
            <w:pPr>
              <w:pStyle w:val="NormalWeb"/>
              <w:bidi w:val="0"/>
              <w:spacing w:before="100" w:after="100"/>
              <w:rPr>
                <w:rFonts w:ascii="Times New Roman" w:hAnsi="Times New Roman"/>
              </w:rPr>
            </w:pPr>
            <w:r>
              <w:rPr/>
              <w:t xml:space="preserve">LMA lies within the </w:t>
            </w:r>
            <w:r>
              <w:rPr>
                <w:rStyle w:val="Strong"/>
                <w:lang w:val="en-GB" w:eastAsia="en-GB" w:bidi="ar-SA"/>
              </w:rPr>
              <w:t>3km AONB setting zone</w:t>
            </w:r>
            <w:r>
              <w:rPr/>
              <w:t xml:space="preserve"> and forms part of the </w:t>
            </w:r>
            <w:r>
              <w:rPr>
                <w:rStyle w:val="Strong"/>
                <w:lang w:val="en-GB" w:eastAsia="en-GB" w:bidi="ar-SA"/>
              </w:rPr>
              <w:t>foreground landscape</w:t>
            </w:r>
            <w:r>
              <w:rPr/>
              <w:t xml:space="preserve"> visible from multiple elevated escarpment viewpoints. The plan contains </w:t>
            </w:r>
            <w:r>
              <w:rPr>
                <w:rStyle w:val="Strong"/>
                <w:lang w:val="en-GB" w:eastAsia="en-GB" w:bidi="ar-SA"/>
              </w:rPr>
              <w:t>no viewpoint analysis</w:t>
            </w:r>
            <w:r>
              <w:rPr/>
              <w:t xml:space="preserve">, </w:t>
            </w:r>
            <w:r>
              <w:rPr>
                <w:rStyle w:val="Strong"/>
                <w:lang w:val="en-GB" w:eastAsia="en-GB" w:bidi="ar-SA"/>
              </w:rPr>
              <w:t>no visual modelling</w:t>
            </w:r>
            <w:r>
              <w:rPr/>
              <w:t xml:space="preserve">, and </w:t>
            </w:r>
            <w:r>
              <w:rPr>
                <w:rStyle w:val="Strong"/>
                <w:lang w:val="en-GB" w:eastAsia="en-GB" w:bidi="ar-SA"/>
              </w:rPr>
              <w:t>no mitigation strategy</w:t>
            </w:r>
            <w:r>
              <w:rPr/>
              <w:t>.</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Key Cotswolds Escarpment Viewpoints Affected by LMA</w:t>
            </w:r>
          </w:p>
          <w:p>
            <w:pPr>
              <w:pStyle w:val="NormalWeb"/>
              <w:bidi w:val="0"/>
              <w:spacing w:before="100" w:after="100"/>
              <w:rPr>
                <w:rFonts w:ascii="Times New Roman" w:hAnsi="Times New Roman"/>
              </w:rPr>
            </w:pPr>
            <w:r>
              <w:rPr/>
              <w:t xml:space="preserve">Below are the </w:t>
            </w:r>
            <w:r>
              <w:rPr>
                <w:rStyle w:val="Strong"/>
                <w:lang w:val="en-GB" w:eastAsia="en-GB" w:bidi="ar-SA"/>
              </w:rPr>
              <w:t>specific viewpoints</w:t>
            </w:r>
            <w:r>
              <w:rPr/>
              <w:t xml:space="preserve"> recognised in landscape assessments, Cotswolds National Landscape guidance, and local studies. All of these viewpoints look </w:t>
            </w:r>
            <w:r>
              <w:rPr>
                <w:rStyle w:val="Strong"/>
                <w:lang w:val="en-GB" w:eastAsia="en-GB" w:bidi="ar-SA"/>
              </w:rPr>
              <w:t>directly across the Vale of Evesham</w:t>
            </w:r>
            <w:r>
              <w:rPr/>
              <w:t xml:space="preserve"> toward the </w:t>
            </w:r>
            <w:r>
              <w:rPr>
                <w:rStyle w:val="Strong"/>
                <w:lang w:val="en-GB" w:eastAsia="en-GB" w:bidi="ar-SA"/>
              </w:rPr>
              <w:t>Long Marston / Meon Vale area</w:t>
            </w:r>
            <w:r>
              <w:rPr/>
              <w:t>.</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Viewpoint 1 — Dover’s Hill (National Trust)</w:t>
            </w:r>
          </w:p>
          <w:p>
            <w:pPr>
              <w:pStyle w:val="NormalWeb"/>
              <w:bidi w:val="0"/>
              <w:spacing w:before="100" w:after="100"/>
              <w:rPr>
                <w:rFonts w:ascii="Times New Roman" w:hAnsi="Times New Roman"/>
              </w:rPr>
            </w:pPr>
            <w:r>
              <w:rPr>
                <w:rStyle w:val="Strong"/>
                <w:lang w:val="en-GB" w:eastAsia="en-GB" w:bidi="ar-SA"/>
              </w:rPr>
              <w:t>Designation:</w:t>
            </w:r>
            <w:r>
              <w:rPr/>
              <w:t xml:space="preserve"> Scheduled viewpoint, National Trust, Cotswolds National Landscape </w:t>
            </w:r>
            <w:r>
              <w:rPr>
                <w:rStyle w:val="Strong"/>
                <w:lang w:val="en-GB" w:eastAsia="en-GB" w:bidi="ar-SA"/>
              </w:rPr>
              <w:t>Elevation:</w:t>
            </w:r>
            <w:r>
              <w:rPr/>
              <w:t xml:space="preserve"> ~230m </w:t>
            </w:r>
            <w:r>
              <w:rPr>
                <w:rStyle w:val="Strong"/>
                <w:lang w:val="en-GB" w:eastAsia="en-GB" w:bidi="ar-SA"/>
              </w:rPr>
              <w:t>Direction of view:</w:t>
            </w:r>
            <w:r>
              <w:rPr/>
              <w:t xml:space="preserve"> North</w:t>
              <w:noBreakHyphen/>
              <w:t xml:space="preserve">east across the Vale of Evesham </w:t>
            </w:r>
            <w:r>
              <w:rPr>
                <w:rStyle w:val="Strong"/>
                <w:lang w:val="en-GB" w:eastAsia="en-GB" w:bidi="ar-SA"/>
              </w:rPr>
              <w:t>Relevance:</w:t>
            </w:r>
            <w:r>
              <w:rPr/>
              <w:t xml:space="preserve"> One of the most iconic panoramic viewpoints in the Cotswolds.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Impact from LMA</w:t>
            </w:r>
          </w:p>
          <w:p>
            <w:pPr>
              <w:pStyle w:val="NormalWeb"/>
              <w:numPr>
                <w:ilvl w:val="0"/>
                <w:numId w:val="23"/>
              </w:numPr>
              <w:tabs>
                <w:tab w:val="left" w:pos="720" w:leader="none"/>
              </w:tabs>
              <w:bidi w:val="0"/>
              <w:spacing w:before="100" w:after="0"/>
              <w:rPr/>
            </w:pPr>
            <w:r>
              <w:rPr/>
              <w:t xml:space="preserve">LMA sits in the </w:t>
            </w:r>
            <w:r>
              <w:rPr>
                <w:rStyle w:val="Strong"/>
                <w:lang w:val="en-GB" w:eastAsia="en-GB" w:bidi="ar-SA"/>
              </w:rPr>
              <w:t>middle foreground</w:t>
            </w:r>
            <w:r>
              <w:rPr/>
              <w:t xml:space="preserve"> of the Dover’s Hill panorama.</w:t>
            </w:r>
          </w:p>
          <w:p>
            <w:pPr>
              <w:pStyle w:val="NormalWeb"/>
              <w:numPr>
                <w:ilvl w:val="0"/>
                <w:numId w:val="23"/>
              </w:numPr>
              <w:tabs>
                <w:tab w:val="left" w:pos="720" w:leader="none"/>
              </w:tabs>
              <w:bidi w:val="0"/>
              <w:spacing w:before="0" w:after="0"/>
              <w:rPr/>
            </w:pPr>
            <w:r>
              <w:rPr/>
              <w:t>A town</w:t>
              <w:noBreakHyphen/>
              <w:t xml:space="preserve">scale settlement introduces </w:t>
            </w:r>
            <w:r>
              <w:rPr>
                <w:rStyle w:val="Strong"/>
                <w:lang w:val="en-GB" w:eastAsia="en-GB" w:bidi="ar-SA"/>
              </w:rPr>
              <w:t>large</w:t>
              <w:noBreakHyphen/>
              <w:t>scale massing</w:t>
            </w:r>
            <w:r>
              <w:rPr/>
              <w:t xml:space="preserve"> into an otherwise rural plain.</w:t>
            </w:r>
          </w:p>
          <w:p>
            <w:pPr>
              <w:pStyle w:val="NormalWeb"/>
              <w:numPr>
                <w:ilvl w:val="0"/>
                <w:numId w:val="23"/>
              </w:numPr>
              <w:tabs>
                <w:tab w:val="left" w:pos="720" w:leader="none"/>
              </w:tabs>
              <w:bidi w:val="0"/>
              <w:spacing w:before="0" w:after="0"/>
              <w:rPr/>
            </w:pPr>
            <w:r>
              <w:rPr/>
              <w:t>Lighting, movement, and built form will be visible in clear conditions.</w:t>
            </w:r>
          </w:p>
          <w:p>
            <w:pPr>
              <w:pStyle w:val="NormalWeb"/>
              <w:numPr>
                <w:ilvl w:val="0"/>
                <w:numId w:val="23"/>
              </w:numPr>
              <w:tabs>
                <w:tab w:val="left" w:pos="720" w:leader="none"/>
              </w:tabs>
              <w:bidi w:val="0"/>
              <w:spacing w:before="0" w:after="0"/>
              <w:rPr>
                <w:rFonts w:ascii="Times New Roman" w:hAnsi="Times New Roman"/>
              </w:rPr>
            </w:pPr>
            <w:r>
              <w:rPr/>
              <w:t xml:space="preserve">Cumulative impact with Meon Vale creates a </w:t>
            </w:r>
            <w:r>
              <w:rPr>
                <w:rStyle w:val="Strong"/>
                <w:lang w:val="en-GB" w:eastAsia="en-GB" w:bidi="ar-SA"/>
              </w:rPr>
              <w:t>continuous urban block</w:t>
            </w:r>
            <w:r>
              <w:rPr/>
              <w: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Policy conflict</w:t>
            </w:r>
          </w:p>
          <w:p>
            <w:pPr>
              <w:pStyle w:val="NormalWeb"/>
              <w:numPr>
                <w:ilvl w:val="0"/>
                <w:numId w:val="3"/>
              </w:numPr>
              <w:tabs>
                <w:tab w:val="left" w:pos="720" w:leader="none"/>
              </w:tabs>
              <w:bidi w:val="0"/>
              <w:spacing w:before="100" w:after="0"/>
              <w:ind w:hanging="360" w:left="720" w:right="0"/>
              <w:rPr>
                <w:rFonts w:ascii="Times New Roman" w:hAnsi="Times New Roman"/>
              </w:rPr>
            </w:pPr>
            <w:r>
              <w:rPr/>
              <w:t>NPPF §176 (great weight to conserving landscape beauty)</w:t>
            </w:r>
          </w:p>
          <w:p>
            <w:pPr>
              <w:pStyle w:val="NormalWeb"/>
              <w:numPr>
                <w:ilvl w:val="0"/>
                <w:numId w:val="3"/>
              </w:numPr>
              <w:tabs>
                <w:tab w:val="left" w:pos="720" w:leader="none"/>
              </w:tabs>
              <w:bidi w:val="0"/>
              <w:spacing w:before="0" w:after="0"/>
              <w:ind w:hanging="360" w:left="720" w:right="0"/>
              <w:rPr>
                <w:rFonts w:ascii="Times New Roman" w:hAnsi="Times New Roman"/>
              </w:rPr>
            </w:pPr>
            <w:r>
              <w:rPr/>
              <w:t>Cotswolds National Landscape Management Plan (protect key panoramic views)</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Viewpoint 2 — Broadway Tower</w:t>
            </w:r>
          </w:p>
          <w:p>
            <w:pPr>
              <w:pStyle w:val="NormalWeb"/>
              <w:bidi w:val="0"/>
              <w:spacing w:before="100" w:after="100"/>
              <w:rPr>
                <w:rFonts w:ascii="Times New Roman" w:hAnsi="Times New Roman"/>
              </w:rPr>
            </w:pPr>
            <w:r>
              <w:rPr>
                <w:rStyle w:val="Strong"/>
                <w:lang w:val="en-GB" w:eastAsia="en-GB" w:bidi="ar-SA"/>
              </w:rPr>
              <w:t>Designation:</w:t>
            </w:r>
            <w:r>
              <w:rPr/>
              <w:t xml:space="preserve"> Grade II listed, landmark viewpoint </w:t>
            </w:r>
            <w:r>
              <w:rPr>
                <w:rStyle w:val="Strong"/>
                <w:lang w:val="en-GB" w:eastAsia="en-GB" w:bidi="ar-SA"/>
              </w:rPr>
              <w:t>Elevation:</w:t>
            </w:r>
            <w:r>
              <w:rPr/>
              <w:t xml:space="preserve"> ~312m </w:t>
            </w:r>
            <w:r>
              <w:rPr>
                <w:rStyle w:val="Strong"/>
                <w:lang w:val="en-GB" w:eastAsia="en-GB" w:bidi="ar-SA"/>
              </w:rPr>
              <w:t>Direction of view:</w:t>
            </w:r>
            <w:r>
              <w:rPr/>
              <w:t xml:space="preserve"> North</w:t>
              <w:noBreakHyphen/>
              <w:t xml:space="preserve">east and east across the Vale </w:t>
            </w:r>
            <w:r>
              <w:rPr>
                <w:rStyle w:val="Strong"/>
                <w:lang w:val="en-GB" w:eastAsia="en-GB" w:bidi="ar-SA"/>
              </w:rPr>
              <w:t>Relevance:</w:t>
            </w:r>
            <w:r>
              <w:rPr/>
              <w:t xml:space="preserve"> One of the highest and most visited viewpoints in the Cotswolds.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Impact from LMA</w:t>
            </w:r>
          </w:p>
          <w:p>
            <w:pPr>
              <w:pStyle w:val="NormalWeb"/>
              <w:numPr>
                <w:ilvl w:val="0"/>
                <w:numId w:val="4"/>
              </w:numPr>
              <w:tabs>
                <w:tab w:val="left" w:pos="720" w:leader="none"/>
              </w:tabs>
              <w:bidi w:val="0"/>
              <w:spacing w:before="100" w:after="0"/>
              <w:ind w:hanging="360" w:left="720" w:right="0"/>
              <w:rPr>
                <w:rFonts w:ascii="Times New Roman" w:hAnsi="Times New Roman"/>
              </w:rPr>
            </w:pPr>
            <w:r>
              <w:rPr/>
              <w:t xml:space="preserve">LMA lies within the </w:t>
            </w:r>
            <w:r>
              <w:rPr>
                <w:rStyle w:val="Strong"/>
                <w:lang w:val="en-GB" w:eastAsia="en-GB" w:bidi="ar-SA"/>
              </w:rPr>
              <w:t>visible mid</w:t>
              <w:noBreakHyphen/>
              <w:t>distance</w:t>
            </w:r>
            <w:r>
              <w:rPr/>
              <w:t xml:space="preserve"> of the Tower’s panoramic sweep.</w:t>
            </w:r>
          </w:p>
          <w:p>
            <w:pPr>
              <w:pStyle w:val="NormalWeb"/>
              <w:numPr>
                <w:ilvl w:val="0"/>
                <w:numId w:val="4"/>
              </w:numPr>
              <w:tabs>
                <w:tab w:val="left" w:pos="720" w:leader="none"/>
              </w:tabs>
              <w:bidi w:val="0"/>
              <w:spacing w:before="0" w:after="0"/>
              <w:ind w:hanging="360" w:left="720" w:right="0"/>
              <w:rPr>
                <w:rFonts w:ascii="Times New Roman" w:hAnsi="Times New Roman"/>
              </w:rPr>
            </w:pPr>
            <w:r>
              <w:rPr/>
              <w:t>Large</w:t>
              <w:noBreakHyphen/>
              <w:t xml:space="preserve">scale development will be perceptible as </w:t>
            </w:r>
            <w:r>
              <w:rPr>
                <w:rStyle w:val="Strong"/>
                <w:lang w:val="en-GB" w:eastAsia="en-GB" w:bidi="ar-SA"/>
              </w:rPr>
              <w:t>urbanisation of the rural plain</w:t>
            </w:r>
            <w:r>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t>Night</w:t>
              <w:noBreakHyphen/>
              <w:t>time lighting will be visible due to elevation and dark skies.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Policy conflict</w:t>
            </w:r>
          </w:p>
          <w:p>
            <w:pPr>
              <w:pStyle w:val="NormalWeb"/>
              <w:numPr>
                <w:ilvl w:val="0"/>
                <w:numId w:val="5"/>
              </w:numPr>
              <w:tabs>
                <w:tab w:val="left" w:pos="720" w:leader="none"/>
              </w:tabs>
              <w:bidi w:val="0"/>
              <w:spacing w:before="100" w:after="0"/>
              <w:ind w:hanging="360" w:left="720" w:right="0"/>
              <w:rPr>
                <w:rFonts w:ascii="Times New Roman" w:hAnsi="Times New Roman"/>
              </w:rPr>
            </w:pPr>
            <w:r>
              <w:rPr/>
              <w:t>NPPF §177 (avoid significant harm to AONB setting)</w:t>
            </w:r>
          </w:p>
          <w:p>
            <w:pPr>
              <w:pStyle w:val="NormalWeb"/>
              <w:numPr>
                <w:ilvl w:val="0"/>
                <w:numId w:val="5"/>
              </w:numPr>
              <w:tabs>
                <w:tab w:val="left" w:pos="720" w:leader="none"/>
              </w:tabs>
              <w:bidi w:val="0"/>
              <w:spacing w:before="0" w:after="0"/>
              <w:ind w:hanging="360" w:left="720" w:right="0"/>
              <w:rPr>
                <w:rFonts w:ascii="Times New Roman" w:hAnsi="Times New Roman"/>
              </w:rPr>
            </w:pPr>
            <w:r>
              <w:rPr/>
              <w:t>Cotswolds Dark Skies Strategy (avoid new lighting intrusion)</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Viewpoint 3 — Fish Hill / Broadway Escarpment</w:t>
            </w:r>
          </w:p>
          <w:p>
            <w:pPr>
              <w:pStyle w:val="NormalWeb"/>
              <w:bidi w:val="0"/>
              <w:spacing w:before="100" w:after="100"/>
              <w:rPr>
                <w:rFonts w:ascii="Times New Roman" w:hAnsi="Times New Roman"/>
              </w:rPr>
            </w:pPr>
            <w:r>
              <w:rPr>
                <w:rStyle w:val="Strong"/>
                <w:lang w:val="en-GB" w:eastAsia="en-GB" w:bidi="ar-SA"/>
              </w:rPr>
              <w:t>Designation:</w:t>
            </w:r>
            <w:r>
              <w:rPr/>
              <w:t xml:space="preserve"> Cotswolds National Landscape viewpoint </w:t>
            </w:r>
            <w:r>
              <w:rPr>
                <w:rStyle w:val="Strong"/>
                <w:lang w:val="en-GB" w:eastAsia="en-GB" w:bidi="ar-SA"/>
              </w:rPr>
              <w:t>Elevation:</w:t>
            </w:r>
            <w:r>
              <w:rPr/>
              <w:t xml:space="preserve"> ~260–300m </w:t>
            </w:r>
            <w:r>
              <w:rPr>
                <w:rStyle w:val="Strong"/>
                <w:lang w:val="en-GB" w:eastAsia="en-GB" w:bidi="ar-SA"/>
              </w:rPr>
              <w:t>Direction of view:</w:t>
            </w:r>
            <w:r>
              <w:rPr/>
              <w:t xml:space="preserve"> North</w:t>
              <w:noBreakHyphen/>
              <w:t xml:space="preserve">east </w:t>
            </w:r>
            <w:r>
              <w:rPr>
                <w:rStyle w:val="Strong"/>
                <w:lang w:val="en-GB" w:eastAsia="en-GB" w:bidi="ar-SA"/>
              </w:rPr>
              <w:t>Relevance:</w:t>
            </w:r>
            <w:r>
              <w:rPr/>
              <w:t xml:space="preserve"> Key viewpoint on the AONB escarpment.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Impact from LMA</w:t>
            </w:r>
          </w:p>
          <w:p>
            <w:pPr>
              <w:pStyle w:val="NormalWeb"/>
              <w:numPr>
                <w:ilvl w:val="0"/>
                <w:numId w:val="6"/>
              </w:numPr>
              <w:tabs>
                <w:tab w:val="left" w:pos="720" w:leader="none"/>
              </w:tabs>
              <w:bidi w:val="0"/>
              <w:spacing w:before="100" w:after="0"/>
              <w:ind w:hanging="360" w:left="720" w:right="0"/>
              <w:rPr>
                <w:rFonts w:ascii="Times New Roman" w:hAnsi="Times New Roman"/>
              </w:rPr>
            </w:pPr>
            <w:r>
              <w:rPr/>
              <w:t xml:space="preserve">LMA sits in the </w:t>
            </w:r>
            <w:r>
              <w:rPr>
                <w:rStyle w:val="Strong"/>
                <w:lang w:val="en-GB" w:eastAsia="en-GB" w:bidi="ar-SA"/>
              </w:rPr>
              <w:t>lower foreground</w:t>
            </w:r>
            <w:r>
              <w:rPr/>
              <w:t xml:space="preserve"> of the escarpment view.</w:t>
            </w:r>
          </w:p>
          <w:p>
            <w:pPr>
              <w:pStyle w:val="NormalWeb"/>
              <w:numPr>
                <w:ilvl w:val="0"/>
                <w:numId w:val="6"/>
              </w:numPr>
              <w:tabs>
                <w:tab w:val="left" w:pos="720" w:leader="none"/>
              </w:tabs>
              <w:bidi w:val="0"/>
              <w:spacing w:before="0" w:after="0"/>
              <w:ind w:hanging="360" w:left="720" w:right="0"/>
              <w:rPr>
                <w:rFonts w:ascii="Times New Roman" w:hAnsi="Times New Roman"/>
              </w:rPr>
            </w:pPr>
            <w:r>
              <w:rPr/>
              <w:t xml:space="preserve">A new town introduces </w:t>
            </w:r>
            <w:r>
              <w:rPr>
                <w:rStyle w:val="Strong"/>
                <w:lang w:val="en-GB" w:eastAsia="en-GB" w:bidi="ar-SA"/>
              </w:rPr>
              <w:t>urban massing</w:t>
            </w:r>
            <w:r>
              <w:rPr/>
              <w:t xml:space="preserve"> into a sensitive rural setting.</w:t>
            </w:r>
          </w:p>
          <w:p>
            <w:pPr>
              <w:pStyle w:val="NormalWeb"/>
              <w:numPr>
                <w:ilvl w:val="0"/>
                <w:numId w:val="6"/>
              </w:numPr>
              <w:tabs>
                <w:tab w:val="left" w:pos="720" w:leader="none"/>
              </w:tabs>
              <w:bidi w:val="0"/>
              <w:spacing w:before="0" w:after="0"/>
              <w:ind w:hanging="360" w:left="720" w:right="0"/>
              <w:rPr>
                <w:rFonts w:ascii="Times New Roman" w:hAnsi="Times New Roman"/>
              </w:rPr>
            </w:pPr>
            <w:r>
              <w:rPr/>
              <w:t>Traffic movement and lighting will be visible at night.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Policy conflict</w:t>
            </w:r>
          </w:p>
          <w:p>
            <w:pPr>
              <w:pStyle w:val="NormalWeb"/>
              <w:numPr>
                <w:ilvl w:val="0"/>
                <w:numId w:val="7"/>
              </w:numPr>
              <w:tabs>
                <w:tab w:val="left" w:pos="720" w:leader="none"/>
              </w:tabs>
              <w:bidi w:val="0"/>
              <w:spacing w:before="100" w:after="0"/>
              <w:ind w:hanging="360" w:left="720" w:right="0"/>
              <w:rPr>
                <w:rFonts w:ascii="Times New Roman" w:hAnsi="Times New Roman"/>
              </w:rPr>
            </w:pPr>
            <w:r>
              <w:rPr/>
              <w:t>BN.2 (Landscape Character)</w:t>
            </w:r>
          </w:p>
          <w:p>
            <w:pPr>
              <w:pStyle w:val="NormalWeb"/>
              <w:numPr>
                <w:ilvl w:val="0"/>
                <w:numId w:val="7"/>
              </w:numPr>
              <w:tabs>
                <w:tab w:val="left" w:pos="720" w:leader="none"/>
              </w:tabs>
              <w:bidi w:val="0"/>
              <w:spacing w:before="0" w:after="0"/>
              <w:ind w:hanging="360" w:left="720" w:right="0"/>
              <w:rPr>
                <w:rFonts w:ascii="Times New Roman" w:hAnsi="Times New Roman"/>
              </w:rPr>
            </w:pPr>
            <w:r>
              <w:rPr/>
              <w:t>BN.4 (Environmental Net Gain – landscape)</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Viewpoint 4 — Campden House / Hidcote Ridge</w:t>
            </w:r>
          </w:p>
          <w:p>
            <w:pPr>
              <w:pStyle w:val="NormalWeb"/>
              <w:bidi w:val="0"/>
              <w:spacing w:before="100" w:after="100"/>
              <w:rPr>
                <w:rFonts w:ascii="Times New Roman" w:hAnsi="Times New Roman"/>
              </w:rPr>
            </w:pPr>
            <w:r>
              <w:rPr>
                <w:rStyle w:val="Strong"/>
                <w:lang w:val="en-GB" w:eastAsia="en-GB" w:bidi="ar-SA"/>
              </w:rPr>
              <w:t>Designation:</w:t>
            </w:r>
            <w:r>
              <w:rPr/>
              <w:t xml:space="preserve"> Historic landscape viewpoints </w:t>
            </w:r>
            <w:r>
              <w:rPr>
                <w:rStyle w:val="Strong"/>
                <w:lang w:val="en-GB" w:eastAsia="en-GB" w:bidi="ar-SA"/>
              </w:rPr>
              <w:t>Elevation:</w:t>
            </w:r>
            <w:r>
              <w:rPr/>
              <w:t xml:space="preserve"> ~200–240m </w:t>
            </w:r>
            <w:r>
              <w:rPr>
                <w:rStyle w:val="Strong"/>
                <w:lang w:val="en-GB" w:eastAsia="en-GB" w:bidi="ar-SA"/>
              </w:rPr>
              <w:t>Direction of view:</w:t>
            </w:r>
            <w:r>
              <w:rPr/>
              <w:t xml:space="preserve"> North</w:t>
              <w:noBreakHyphen/>
              <w:t xml:space="preserve">east </w:t>
            </w:r>
            <w:r>
              <w:rPr>
                <w:rStyle w:val="Strong"/>
                <w:lang w:val="en-GB" w:eastAsia="en-GB" w:bidi="ar-SA"/>
              </w:rPr>
              <w:t>Relevance:</w:t>
            </w:r>
            <w:r>
              <w:rPr/>
              <w:t xml:space="preserve"> Views from historic gardens and ridgelines.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Impact from LMA</w:t>
            </w:r>
          </w:p>
          <w:p>
            <w:pPr>
              <w:pStyle w:val="NormalWeb"/>
              <w:numPr>
                <w:ilvl w:val="0"/>
                <w:numId w:val="8"/>
              </w:numPr>
              <w:tabs>
                <w:tab w:val="left" w:pos="720" w:leader="none"/>
              </w:tabs>
              <w:bidi w:val="0"/>
              <w:spacing w:before="100" w:after="0"/>
              <w:ind w:hanging="360" w:left="720" w:right="0"/>
              <w:rPr>
                <w:rFonts w:ascii="Times New Roman" w:hAnsi="Times New Roman"/>
              </w:rPr>
            </w:pPr>
            <w:r>
              <w:rPr/>
              <w:t xml:space="preserve">LMA will be visible as </w:t>
            </w:r>
            <w:r>
              <w:rPr>
                <w:rStyle w:val="Strong"/>
                <w:lang w:val="en-GB" w:eastAsia="en-GB" w:bidi="ar-SA"/>
              </w:rPr>
              <w:t>urban expansion</w:t>
            </w:r>
            <w:r>
              <w:rPr/>
              <w:t xml:space="preserve"> in the rural plain.</w:t>
            </w:r>
          </w:p>
          <w:p>
            <w:pPr>
              <w:pStyle w:val="NormalWeb"/>
              <w:numPr>
                <w:ilvl w:val="0"/>
                <w:numId w:val="8"/>
              </w:numPr>
              <w:tabs>
                <w:tab w:val="left" w:pos="720" w:leader="none"/>
              </w:tabs>
              <w:bidi w:val="0"/>
              <w:spacing w:before="0" w:after="0"/>
              <w:ind w:hanging="360" w:left="720" w:right="0"/>
              <w:rPr>
                <w:rFonts w:ascii="Times New Roman" w:hAnsi="Times New Roman"/>
              </w:rPr>
            </w:pPr>
            <w:r>
              <w:rPr/>
              <w:t xml:space="preserve">Cumulative impact with Meon Vale creates </w:t>
            </w:r>
            <w:r>
              <w:rPr>
                <w:rStyle w:val="Strong"/>
                <w:lang w:val="en-GB" w:eastAsia="en-GB" w:bidi="ar-SA"/>
              </w:rPr>
              <w:t>coalescence in the view</w:t>
            </w:r>
            <w:r>
              <w:rPr/>
              <w:t>.</w:t>
            </w:r>
          </w:p>
          <w:p>
            <w:pPr>
              <w:pStyle w:val="NormalWeb"/>
              <w:numPr>
                <w:ilvl w:val="0"/>
                <w:numId w:val="8"/>
              </w:numPr>
              <w:tabs>
                <w:tab w:val="left" w:pos="720" w:leader="none"/>
              </w:tabs>
              <w:bidi w:val="0"/>
              <w:spacing w:before="0" w:after="0"/>
              <w:ind w:hanging="360" w:left="720" w:right="0"/>
              <w:rPr>
                <w:rFonts w:ascii="Times New Roman" w:hAnsi="Times New Roman"/>
              </w:rPr>
            </w:pPr>
            <w:r>
              <w:rPr/>
              <w:t>Loss of tranquillity and rural character.</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Policy conflict</w:t>
            </w:r>
          </w:p>
          <w:p>
            <w:pPr>
              <w:pStyle w:val="NormalWeb"/>
              <w:numPr>
                <w:ilvl w:val="0"/>
                <w:numId w:val="9"/>
              </w:numPr>
              <w:tabs>
                <w:tab w:val="left" w:pos="720" w:leader="none"/>
              </w:tabs>
              <w:bidi w:val="0"/>
              <w:spacing w:before="100" w:after="0"/>
              <w:ind w:hanging="360" w:left="720" w:right="0"/>
              <w:rPr>
                <w:rFonts w:ascii="Times New Roman" w:hAnsi="Times New Roman"/>
              </w:rPr>
            </w:pPr>
            <w:r>
              <w:rPr/>
              <w:t>NPPF §176 (protect setting of AONB)</w:t>
            </w:r>
          </w:p>
          <w:p>
            <w:pPr>
              <w:pStyle w:val="NormalWeb"/>
              <w:numPr>
                <w:ilvl w:val="0"/>
                <w:numId w:val="9"/>
              </w:numPr>
              <w:tabs>
                <w:tab w:val="left" w:pos="720" w:leader="none"/>
              </w:tabs>
              <w:bidi w:val="0"/>
              <w:spacing w:before="0" w:after="0"/>
              <w:ind w:hanging="360" w:left="720" w:right="0"/>
              <w:rPr>
                <w:rFonts w:ascii="Times New Roman" w:hAnsi="Times New Roman"/>
              </w:rPr>
            </w:pPr>
            <w:r>
              <w:rPr/>
              <w:t>BN.2 (protect rural character)</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Viewpoint 5 — Ilmington Downs</w:t>
            </w:r>
          </w:p>
          <w:p>
            <w:pPr>
              <w:pStyle w:val="NormalWeb"/>
              <w:bidi w:val="0"/>
              <w:spacing w:before="100" w:after="100"/>
              <w:rPr>
                <w:rFonts w:ascii="Times New Roman" w:hAnsi="Times New Roman"/>
              </w:rPr>
            </w:pPr>
            <w:r>
              <w:rPr>
                <w:rStyle w:val="Strong"/>
                <w:lang w:val="en-GB" w:eastAsia="en-GB" w:bidi="ar-SA"/>
              </w:rPr>
              <w:t>Designation:</w:t>
            </w:r>
            <w:r>
              <w:rPr/>
              <w:t xml:space="preserve"> High point in the North Cotswolds </w:t>
            </w:r>
            <w:r>
              <w:rPr>
                <w:rStyle w:val="Strong"/>
                <w:lang w:val="en-GB" w:eastAsia="en-GB" w:bidi="ar-SA"/>
              </w:rPr>
              <w:t>Elevation:</w:t>
            </w:r>
            <w:r>
              <w:rPr/>
              <w:t xml:space="preserve"> ~260m </w:t>
            </w:r>
            <w:r>
              <w:rPr>
                <w:rStyle w:val="Strong"/>
                <w:lang w:val="en-GB" w:eastAsia="en-GB" w:bidi="ar-SA"/>
              </w:rPr>
              <w:t>Direction of view:</w:t>
            </w:r>
            <w:r>
              <w:rPr/>
              <w:t xml:space="preserve"> North</w:t>
              <w:noBreakHyphen/>
              <w:t xml:space="preserve">east </w:t>
            </w:r>
            <w:r>
              <w:rPr>
                <w:rStyle w:val="Strong"/>
                <w:lang w:val="en-GB" w:eastAsia="en-GB" w:bidi="ar-SA"/>
              </w:rPr>
              <w:t>Relevance:</w:t>
            </w:r>
            <w:r>
              <w:rPr/>
              <w:t xml:space="preserve"> Wide panoramic views across Warwickshire.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Impact from LMA</w:t>
            </w:r>
          </w:p>
          <w:p>
            <w:pPr>
              <w:pStyle w:val="NormalWeb"/>
              <w:numPr>
                <w:ilvl w:val="0"/>
                <w:numId w:val="10"/>
              </w:numPr>
              <w:tabs>
                <w:tab w:val="left" w:pos="720" w:leader="none"/>
              </w:tabs>
              <w:bidi w:val="0"/>
              <w:spacing w:before="100" w:after="0"/>
              <w:ind w:hanging="360" w:left="720" w:right="0"/>
              <w:rPr>
                <w:rFonts w:ascii="Times New Roman" w:hAnsi="Times New Roman"/>
              </w:rPr>
            </w:pPr>
            <w:r>
              <w:rPr/>
              <w:t xml:space="preserve">LMA will be visible as a </w:t>
            </w:r>
            <w:r>
              <w:rPr>
                <w:rStyle w:val="Strong"/>
                <w:lang w:val="en-GB" w:eastAsia="en-GB" w:bidi="ar-SA"/>
              </w:rPr>
              <w:t>major new settlement</w:t>
            </w:r>
            <w:r>
              <w:rPr/>
              <w:t xml:space="preserve"> in the mid</w:t>
              <w:noBreakHyphen/>
              <w:t>distance.</w:t>
            </w:r>
          </w:p>
          <w:p>
            <w:pPr>
              <w:pStyle w:val="NormalWeb"/>
              <w:numPr>
                <w:ilvl w:val="0"/>
                <w:numId w:val="10"/>
              </w:numPr>
              <w:tabs>
                <w:tab w:val="left" w:pos="720" w:leader="none"/>
              </w:tabs>
              <w:bidi w:val="0"/>
              <w:spacing w:before="0" w:after="0"/>
              <w:ind w:hanging="360" w:left="720" w:right="0"/>
              <w:rPr>
                <w:rFonts w:ascii="Times New Roman" w:hAnsi="Times New Roman"/>
              </w:rPr>
            </w:pPr>
            <w:r>
              <w:rPr/>
              <w:t>Urbanisation of the plain reduces landscape openness.</w:t>
            </w:r>
          </w:p>
          <w:p>
            <w:pPr>
              <w:pStyle w:val="NormalWeb"/>
              <w:numPr>
                <w:ilvl w:val="0"/>
                <w:numId w:val="10"/>
              </w:numPr>
              <w:tabs>
                <w:tab w:val="left" w:pos="720" w:leader="none"/>
              </w:tabs>
              <w:bidi w:val="0"/>
              <w:spacing w:before="0" w:after="0"/>
              <w:ind w:hanging="360" w:left="720" w:right="0"/>
              <w:rPr>
                <w:rFonts w:ascii="Times New Roman" w:hAnsi="Times New Roman"/>
              </w:rPr>
            </w:pPr>
            <w:r>
              <w:rPr/>
              <w:t>Lighting impacts affect dark skies.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Policy conflict</w:t>
            </w:r>
          </w:p>
          <w:p>
            <w:pPr>
              <w:pStyle w:val="NormalWeb"/>
              <w:numPr>
                <w:ilvl w:val="0"/>
                <w:numId w:val="11"/>
              </w:numPr>
              <w:tabs>
                <w:tab w:val="left" w:pos="720" w:leader="none"/>
              </w:tabs>
              <w:bidi w:val="0"/>
              <w:spacing w:before="100" w:after="0"/>
              <w:ind w:hanging="360" w:left="720" w:right="0"/>
              <w:rPr>
                <w:rFonts w:ascii="Times New Roman" w:hAnsi="Times New Roman"/>
              </w:rPr>
            </w:pPr>
            <w:r>
              <w:rPr/>
              <w:t>NPPF §177 (avoid significant harm)</w:t>
            </w:r>
          </w:p>
          <w:p>
            <w:pPr>
              <w:pStyle w:val="NormalWeb"/>
              <w:numPr>
                <w:ilvl w:val="0"/>
                <w:numId w:val="11"/>
              </w:numPr>
              <w:tabs>
                <w:tab w:val="left" w:pos="720" w:leader="none"/>
              </w:tabs>
              <w:bidi w:val="0"/>
              <w:spacing w:before="0" w:after="0"/>
              <w:ind w:hanging="360" w:left="720" w:right="0"/>
              <w:rPr>
                <w:rFonts w:ascii="Times New Roman" w:hAnsi="Times New Roman"/>
              </w:rPr>
            </w:pPr>
            <w:r>
              <w:rPr/>
              <w:t>Cotswolds National Landscape guidance (protect openness)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viewpoint analysis</w:t>
            </w:r>
          </w:p>
          <w:p>
            <w:pPr>
              <w:pStyle w:val="NormalWeb"/>
              <w:bidi w:val="0"/>
              <w:spacing w:before="100" w:after="100"/>
              <w:rPr>
                <w:rFonts w:ascii="Times New Roman" w:hAnsi="Times New Roman"/>
              </w:rPr>
            </w:pPr>
            <w:r>
              <w:rPr/>
              <w:t xml:space="preserve">The SWLP provides </w:t>
            </w:r>
            <w:r>
              <w:rPr>
                <w:rStyle w:val="Strong"/>
                <w:lang w:val="en-GB" w:eastAsia="en-GB" w:bidi="ar-SA"/>
              </w:rPr>
              <w:t>no assessment</w:t>
            </w:r>
            <w:r>
              <w:rPr/>
              <w:t xml:space="preserve"> of:</w:t>
            </w:r>
          </w:p>
          <w:p>
            <w:pPr>
              <w:pStyle w:val="NormalWeb"/>
              <w:numPr>
                <w:ilvl w:val="0"/>
                <w:numId w:val="12"/>
              </w:numPr>
              <w:tabs>
                <w:tab w:val="left" w:pos="720" w:leader="none"/>
              </w:tabs>
              <w:bidi w:val="0"/>
              <w:spacing w:before="100" w:after="0"/>
              <w:ind w:hanging="360" w:left="720" w:right="0"/>
              <w:rPr>
                <w:rFonts w:ascii="Times New Roman" w:hAnsi="Times New Roman"/>
              </w:rPr>
            </w:pPr>
            <w:r>
              <w:rPr/>
              <w:t>visibility from Dover’s Hill</w:t>
            </w:r>
          </w:p>
          <w:p>
            <w:pPr>
              <w:pStyle w:val="NormalWeb"/>
              <w:numPr>
                <w:ilvl w:val="0"/>
                <w:numId w:val="12"/>
              </w:numPr>
              <w:tabs>
                <w:tab w:val="left" w:pos="720" w:leader="none"/>
              </w:tabs>
              <w:bidi w:val="0"/>
              <w:spacing w:before="0" w:after="0"/>
              <w:ind w:hanging="360" w:left="720" w:right="0"/>
              <w:rPr>
                <w:rFonts w:ascii="Times New Roman" w:hAnsi="Times New Roman"/>
              </w:rPr>
            </w:pPr>
            <w:r>
              <w:rPr/>
              <w:t>visibility from Broadway Tower</w:t>
            </w:r>
          </w:p>
          <w:p>
            <w:pPr>
              <w:pStyle w:val="NormalWeb"/>
              <w:numPr>
                <w:ilvl w:val="0"/>
                <w:numId w:val="12"/>
              </w:numPr>
              <w:tabs>
                <w:tab w:val="left" w:pos="720" w:leader="none"/>
              </w:tabs>
              <w:bidi w:val="0"/>
              <w:spacing w:before="0" w:after="0"/>
              <w:ind w:hanging="360" w:left="720" w:right="0"/>
              <w:rPr>
                <w:rFonts w:ascii="Times New Roman" w:hAnsi="Times New Roman"/>
              </w:rPr>
            </w:pPr>
            <w:r>
              <w:rPr/>
              <w:t>visibility from Fish Hill</w:t>
            </w:r>
          </w:p>
          <w:p>
            <w:pPr>
              <w:pStyle w:val="NormalWeb"/>
              <w:numPr>
                <w:ilvl w:val="0"/>
                <w:numId w:val="12"/>
              </w:numPr>
              <w:tabs>
                <w:tab w:val="left" w:pos="720" w:leader="none"/>
              </w:tabs>
              <w:bidi w:val="0"/>
              <w:spacing w:before="0" w:after="0"/>
              <w:ind w:hanging="360" w:left="720" w:right="0"/>
              <w:rPr>
                <w:rFonts w:ascii="Times New Roman" w:hAnsi="Times New Roman"/>
              </w:rPr>
            </w:pPr>
            <w:r>
              <w:rPr/>
              <w:t>visibility from Ilmington Downs</w:t>
            </w:r>
          </w:p>
          <w:p>
            <w:pPr>
              <w:pStyle w:val="NormalWeb"/>
              <w:numPr>
                <w:ilvl w:val="0"/>
                <w:numId w:val="12"/>
              </w:numPr>
              <w:tabs>
                <w:tab w:val="left" w:pos="720" w:leader="none"/>
              </w:tabs>
              <w:bidi w:val="0"/>
              <w:spacing w:before="0" w:after="100"/>
              <w:ind w:hanging="360" w:left="720" w:right="0"/>
              <w:rPr>
                <w:rFonts w:ascii="Times New Roman" w:hAnsi="Times New Roman"/>
              </w:rPr>
            </w:pPr>
            <w:r>
              <w:rPr/>
              <w:t>cumulative visibility with Meon Vale</w:t>
            </w:r>
          </w:p>
          <w:p>
            <w:pPr>
              <w:pStyle w:val="NormalWeb"/>
              <w:bidi w:val="0"/>
              <w:spacing w:before="100" w:after="100"/>
              <w:rPr>
                <w:rFonts w:ascii="Times New Roman" w:hAnsi="Times New Roman"/>
              </w:rPr>
            </w:pPr>
            <w:r>
              <w:rPr/>
              <w:t>This is a clear breach of NPPF §31 (proportionate evidence).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No landscape sensitivity study</w:t>
            </w:r>
          </w:p>
          <w:p>
            <w:pPr>
              <w:pStyle w:val="NormalWeb"/>
              <w:bidi w:val="0"/>
              <w:spacing w:before="100" w:after="100"/>
              <w:rPr>
                <w:rFonts w:ascii="Times New Roman" w:hAnsi="Times New Roman"/>
              </w:rPr>
            </w:pPr>
            <w:r>
              <w:rPr/>
              <w:t>The plan does not assess:</w:t>
            </w:r>
          </w:p>
          <w:p>
            <w:pPr>
              <w:pStyle w:val="NormalWeb"/>
              <w:numPr>
                <w:ilvl w:val="0"/>
                <w:numId w:val="13"/>
              </w:numPr>
              <w:tabs>
                <w:tab w:val="left" w:pos="720" w:leader="none"/>
              </w:tabs>
              <w:bidi w:val="0"/>
              <w:spacing w:before="100" w:after="0"/>
              <w:ind w:hanging="360" w:left="720" w:right="0"/>
              <w:rPr>
                <w:rFonts w:ascii="Times New Roman" w:hAnsi="Times New Roman"/>
              </w:rPr>
            </w:pPr>
            <w:r>
              <w:rPr/>
              <w:t>skyline intrusion</w:t>
            </w:r>
          </w:p>
          <w:p>
            <w:pPr>
              <w:pStyle w:val="NormalWeb"/>
              <w:numPr>
                <w:ilvl w:val="0"/>
                <w:numId w:val="13"/>
              </w:numPr>
              <w:tabs>
                <w:tab w:val="left" w:pos="720" w:leader="none"/>
              </w:tabs>
              <w:bidi w:val="0"/>
              <w:spacing w:before="0" w:after="0"/>
              <w:ind w:hanging="360" w:left="720" w:right="0"/>
              <w:rPr>
                <w:rFonts w:ascii="Times New Roman" w:hAnsi="Times New Roman"/>
              </w:rPr>
            </w:pPr>
            <w:r>
              <w:rPr/>
              <w:t>massing impacts</w:t>
            </w:r>
          </w:p>
          <w:p>
            <w:pPr>
              <w:pStyle w:val="NormalWeb"/>
              <w:numPr>
                <w:ilvl w:val="0"/>
                <w:numId w:val="13"/>
              </w:numPr>
              <w:tabs>
                <w:tab w:val="left" w:pos="720" w:leader="none"/>
              </w:tabs>
              <w:bidi w:val="0"/>
              <w:spacing w:before="0" w:after="0"/>
              <w:ind w:hanging="360" w:left="720" w:right="0"/>
              <w:rPr>
                <w:rFonts w:ascii="Times New Roman" w:hAnsi="Times New Roman"/>
              </w:rPr>
            </w:pPr>
            <w:r>
              <w:rPr/>
              <w:t>lighting impacts</w:t>
            </w:r>
          </w:p>
          <w:p>
            <w:pPr>
              <w:pStyle w:val="NormalWeb"/>
              <w:numPr>
                <w:ilvl w:val="0"/>
                <w:numId w:val="13"/>
              </w:numPr>
              <w:tabs>
                <w:tab w:val="left" w:pos="720" w:leader="none"/>
              </w:tabs>
              <w:bidi w:val="0"/>
              <w:spacing w:before="0" w:after="0"/>
              <w:ind w:hanging="360" w:left="720" w:right="0"/>
              <w:rPr>
                <w:rFonts w:ascii="Times New Roman" w:hAnsi="Times New Roman"/>
              </w:rPr>
            </w:pPr>
            <w:r>
              <w:rPr/>
              <w:t>tranquillity impacts</w:t>
            </w:r>
          </w:p>
          <w:p>
            <w:pPr>
              <w:pStyle w:val="NormalWeb"/>
              <w:numPr>
                <w:ilvl w:val="0"/>
                <w:numId w:val="13"/>
              </w:numPr>
              <w:tabs>
                <w:tab w:val="left" w:pos="720" w:leader="none"/>
              </w:tabs>
              <w:bidi w:val="0"/>
              <w:spacing w:before="0" w:after="0"/>
              <w:ind w:hanging="360" w:left="720" w:right="0"/>
              <w:rPr>
                <w:rFonts w:ascii="Times New Roman" w:hAnsi="Times New Roman"/>
              </w:rPr>
            </w:pPr>
            <w:r>
              <w:rPr/>
              <w:t>rural character change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justification for development in a sensitive setting</w:t>
            </w:r>
          </w:p>
          <w:p>
            <w:pPr>
              <w:pStyle w:val="NormalWeb"/>
              <w:bidi w:val="0"/>
              <w:spacing w:before="100" w:after="100"/>
              <w:rPr>
                <w:rFonts w:ascii="Times New Roman" w:hAnsi="Times New Roman"/>
              </w:rPr>
            </w:pPr>
            <w:r>
              <w:rPr/>
              <w:t>The plan does not explain how a town</w:t>
              <w:noBreakHyphen/>
              <w:t>scale settlement can be accommodated without harming:</w:t>
            </w:r>
          </w:p>
          <w:p>
            <w:pPr>
              <w:pStyle w:val="NormalWeb"/>
              <w:numPr>
                <w:ilvl w:val="0"/>
                <w:numId w:val="14"/>
              </w:numPr>
              <w:tabs>
                <w:tab w:val="left" w:pos="720" w:leader="none"/>
              </w:tabs>
              <w:bidi w:val="0"/>
              <w:spacing w:before="100" w:after="0"/>
              <w:ind w:hanging="360" w:left="720" w:right="0"/>
              <w:rPr>
                <w:rFonts w:ascii="Times New Roman" w:hAnsi="Times New Roman"/>
              </w:rPr>
            </w:pPr>
            <w:r>
              <w:rPr/>
              <w:t>panoramic views</w:t>
            </w:r>
          </w:p>
          <w:p>
            <w:pPr>
              <w:pStyle w:val="NormalWeb"/>
              <w:numPr>
                <w:ilvl w:val="0"/>
                <w:numId w:val="14"/>
              </w:numPr>
              <w:tabs>
                <w:tab w:val="left" w:pos="720" w:leader="none"/>
              </w:tabs>
              <w:bidi w:val="0"/>
              <w:spacing w:before="0" w:after="0"/>
              <w:ind w:hanging="360" w:left="720" w:right="0"/>
              <w:rPr>
                <w:rFonts w:ascii="Times New Roman" w:hAnsi="Times New Roman"/>
              </w:rPr>
            </w:pPr>
            <w:r>
              <w:rPr/>
              <w:t>rural foregrounds</w:t>
            </w:r>
          </w:p>
          <w:p>
            <w:pPr>
              <w:pStyle w:val="NormalWeb"/>
              <w:numPr>
                <w:ilvl w:val="0"/>
                <w:numId w:val="14"/>
              </w:numPr>
              <w:tabs>
                <w:tab w:val="left" w:pos="720" w:leader="none"/>
              </w:tabs>
              <w:bidi w:val="0"/>
              <w:spacing w:before="0" w:after="0"/>
              <w:ind w:hanging="360" w:left="720" w:right="0"/>
              <w:rPr>
                <w:rFonts w:ascii="Times New Roman" w:hAnsi="Times New Roman"/>
              </w:rPr>
            </w:pPr>
            <w:r>
              <w:rPr/>
              <w:t>dark skies</w:t>
            </w:r>
          </w:p>
          <w:p>
            <w:pPr>
              <w:pStyle w:val="NormalWeb"/>
              <w:numPr>
                <w:ilvl w:val="0"/>
                <w:numId w:val="14"/>
              </w:numPr>
              <w:tabs>
                <w:tab w:val="left" w:pos="720" w:leader="none"/>
              </w:tabs>
              <w:bidi w:val="0"/>
              <w:spacing w:before="0" w:after="0"/>
              <w:ind w:hanging="360" w:left="720" w:right="0"/>
              <w:rPr>
                <w:rFonts w:ascii="Times New Roman" w:hAnsi="Times New Roman"/>
              </w:rPr>
            </w:pPr>
            <w:r>
              <w:rPr/>
              <w:t>tranquillity</w:t>
            </w:r>
          </w:p>
          <w:p>
            <w:pPr>
              <w:pStyle w:val="NormalWeb"/>
              <w:numPr>
                <w:ilvl w:val="0"/>
                <w:numId w:val="14"/>
              </w:numPr>
              <w:tabs>
                <w:tab w:val="left" w:pos="720" w:leader="none"/>
              </w:tabs>
              <w:bidi w:val="0"/>
              <w:spacing w:before="0" w:after="0"/>
              <w:ind w:hanging="360" w:left="720" w:right="0"/>
              <w:rPr>
                <w:rFonts w:ascii="Times New Roman" w:hAnsi="Times New Roman"/>
              </w:rPr>
            </w:pPr>
            <w:r>
              <w:rPr/>
              <w:t>landscape character</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mitigation strategy</w:t>
            </w:r>
          </w:p>
          <w:p>
            <w:pPr>
              <w:pStyle w:val="NormalWeb"/>
              <w:bidi w:val="0"/>
              <w:spacing w:before="100" w:after="100"/>
              <w:rPr>
                <w:rFonts w:ascii="Times New Roman" w:hAnsi="Times New Roman"/>
              </w:rPr>
            </w:pPr>
            <w:r>
              <w:rPr/>
              <w:t>There is no:</w:t>
            </w:r>
          </w:p>
          <w:p>
            <w:pPr>
              <w:pStyle w:val="NormalWeb"/>
              <w:numPr>
                <w:ilvl w:val="0"/>
                <w:numId w:val="15"/>
              </w:numPr>
              <w:tabs>
                <w:tab w:val="left" w:pos="720" w:leader="none"/>
              </w:tabs>
              <w:bidi w:val="0"/>
              <w:spacing w:before="100" w:after="0"/>
              <w:ind w:hanging="360" w:left="720" w:right="0"/>
              <w:rPr>
                <w:rFonts w:ascii="Times New Roman" w:hAnsi="Times New Roman"/>
              </w:rPr>
            </w:pPr>
            <w:r>
              <w:rPr/>
              <w:t>landscape buffer</w:t>
            </w:r>
          </w:p>
          <w:p>
            <w:pPr>
              <w:pStyle w:val="NormalWeb"/>
              <w:numPr>
                <w:ilvl w:val="0"/>
                <w:numId w:val="15"/>
              </w:numPr>
              <w:tabs>
                <w:tab w:val="left" w:pos="720" w:leader="none"/>
              </w:tabs>
              <w:bidi w:val="0"/>
              <w:spacing w:before="0" w:after="0"/>
              <w:ind w:hanging="360" w:left="720" w:right="0"/>
              <w:rPr>
                <w:rFonts w:ascii="Times New Roman" w:hAnsi="Times New Roman"/>
              </w:rPr>
            </w:pPr>
            <w:r>
              <w:rPr/>
              <w:t>height/massing control</w:t>
            </w:r>
          </w:p>
          <w:p>
            <w:pPr>
              <w:pStyle w:val="NormalWeb"/>
              <w:numPr>
                <w:ilvl w:val="0"/>
                <w:numId w:val="15"/>
              </w:numPr>
              <w:tabs>
                <w:tab w:val="left" w:pos="720" w:leader="none"/>
              </w:tabs>
              <w:bidi w:val="0"/>
              <w:spacing w:before="0" w:after="0"/>
              <w:ind w:hanging="360" w:left="720" w:right="0"/>
              <w:rPr>
                <w:rFonts w:ascii="Times New Roman" w:hAnsi="Times New Roman"/>
              </w:rPr>
            </w:pPr>
            <w:r>
              <w:rPr/>
              <w:t>dark skies protection</w:t>
            </w:r>
          </w:p>
          <w:p>
            <w:pPr>
              <w:pStyle w:val="NormalWeb"/>
              <w:numPr>
                <w:ilvl w:val="0"/>
                <w:numId w:val="15"/>
              </w:numPr>
              <w:tabs>
                <w:tab w:val="left" w:pos="720" w:leader="none"/>
              </w:tabs>
              <w:bidi w:val="0"/>
              <w:spacing w:before="0" w:after="0"/>
              <w:ind w:hanging="360" w:left="720" w:right="0"/>
              <w:rPr>
                <w:rFonts w:ascii="Times New Roman" w:hAnsi="Times New Roman"/>
              </w:rPr>
            </w:pPr>
            <w:r>
              <w:rPr/>
              <w:t>view corridor protection</w:t>
            </w:r>
          </w:p>
          <w:p>
            <w:pPr>
              <w:pStyle w:val="NormalWeb"/>
              <w:numPr>
                <w:ilvl w:val="0"/>
                <w:numId w:val="15"/>
              </w:numPr>
              <w:tabs>
                <w:tab w:val="left" w:pos="720" w:leader="none"/>
              </w:tabs>
              <w:bidi w:val="0"/>
              <w:spacing w:before="0" w:after="0"/>
              <w:ind w:hanging="360" w:left="720" w:right="0"/>
              <w:rPr>
                <w:rFonts w:ascii="Times New Roman" w:hAnsi="Times New Roman"/>
              </w:rPr>
            </w:pPr>
            <w:r>
              <w:rPr/>
              <w:t>screening strategy</w:t>
            </w:r>
          </w:p>
          <w:p>
            <w:pPr>
              <w:pStyle w:val="NormalWeb"/>
              <w:numPr>
                <w:ilvl w:val="0"/>
                <w:numId w:val="15"/>
              </w:numPr>
              <w:tabs>
                <w:tab w:val="left" w:pos="720" w:leader="none"/>
              </w:tabs>
              <w:bidi w:val="0"/>
              <w:spacing w:before="0" w:after="0"/>
              <w:ind w:hanging="360" w:left="720" w:right="0"/>
              <w:rPr>
                <w:rFonts w:ascii="Times New Roman" w:hAnsi="Times New Roman"/>
              </w:rPr>
            </w:pPr>
            <w:r>
              <w:rPr/>
              <w:t>settlement edge design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No cumulative impact assessment</w:t>
            </w:r>
          </w:p>
          <w:p>
            <w:pPr>
              <w:pStyle w:val="NormalWeb"/>
              <w:bidi w:val="0"/>
              <w:spacing w:before="100" w:after="100"/>
              <w:rPr>
                <w:rFonts w:ascii="Times New Roman" w:hAnsi="Times New Roman"/>
              </w:rPr>
            </w:pPr>
            <w:r>
              <w:rPr/>
              <w:t>The combined effects of:</w:t>
            </w:r>
          </w:p>
          <w:p>
            <w:pPr>
              <w:pStyle w:val="NormalWeb"/>
              <w:numPr>
                <w:ilvl w:val="0"/>
                <w:numId w:val="16"/>
              </w:numPr>
              <w:tabs>
                <w:tab w:val="left" w:pos="720" w:leader="none"/>
              </w:tabs>
              <w:bidi w:val="0"/>
              <w:spacing w:before="100" w:after="0"/>
              <w:ind w:hanging="360" w:left="720" w:right="0"/>
              <w:rPr>
                <w:rFonts w:ascii="Times New Roman" w:hAnsi="Times New Roman"/>
              </w:rPr>
            </w:pPr>
            <w:r>
              <w:rPr/>
              <w:t>LMA</w:t>
            </w:r>
          </w:p>
          <w:p>
            <w:pPr>
              <w:pStyle w:val="NormalWeb"/>
              <w:numPr>
                <w:ilvl w:val="0"/>
                <w:numId w:val="16"/>
              </w:numPr>
              <w:tabs>
                <w:tab w:val="left" w:pos="720" w:leader="none"/>
              </w:tabs>
              <w:bidi w:val="0"/>
              <w:spacing w:before="0" w:after="0"/>
              <w:ind w:hanging="360" w:left="720" w:right="0"/>
              <w:rPr>
                <w:rFonts w:ascii="Times New Roman" w:hAnsi="Times New Roman"/>
              </w:rPr>
            </w:pPr>
            <w:r>
              <w:rPr/>
              <w:t>Meon Vale</w:t>
            </w:r>
          </w:p>
          <w:p>
            <w:pPr>
              <w:pStyle w:val="NormalWeb"/>
              <w:numPr>
                <w:ilvl w:val="0"/>
                <w:numId w:val="16"/>
              </w:numPr>
              <w:tabs>
                <w:tab w:val="left" w:pos="720" w:leader="none"/>
              </w:tabs>
              <w:bidi w:val="0"/>
              <w:spacing w:before="0" w:after="0"/>
              <w:ind w:hanging="360" w:left="720" w:right="0"/>
              <w:rPr>
                <w:rFonts w:ascii="Times New Roman" w:hAnsi="Times New Roman"/>
              </w:rPr>
            </w:pPr>
            <w:r>
              <w:rPr/>
              <w:t>Long Marston village</w:t>
            </w:r>
          </w:p>
          <w:p>
            <w:pPr>
              <w:pStyle w:val="NormalWeb"/>
              <w:numPr>
                <w:ilvl w:val="0"/>
                <w:numId w:val="16"/>
              </w:numPr>
              <w:tabs>
                <w:tab w:val="left" w:pos="720" w:leader="none"/>
              </w:tabs>
              <w:bidi w:val="0"/>
              <w:spacing w:before="0" w:after="0"/>
              <w:ind w:hanging="360" w:left="720" w:right="0"/>
              <w:rPr>
                <w:rFonts w:ascii="Times New Roman" w:hAnsi="Times New Roman"/>
              </w:rPr>
            </w:pPr>
            <w:r>
              <w:rPr/>
              <w:t>lighting</w:t>
            </w:r>
          </w:p>
          <w:p>
            <w:pPr>
              <w:pStyle w:val="NormalWeb"/>
              <w:numPr>
                <w:ilvl w:val="0"/>
                <w:numId w:val="16"/>
              </w:numPr>
              <w:tabs>
                <w:tab w:val="left" w:pos="720" w:leader="none"/>
              </w:tabs>
              <w:bidi w:val="0"/>
              <w:spacing w:before="0" w:after="0"/>
              <w:ind w:hanging="360" w:left="720" w:right="0"/>
              <w:rPr>
                <w:rFonts w:ascii="Times New Roman" w:hAnsi="Times New Roman"/>
              </w:rPr>
            </w:pPr>
            <w:r>
              <w:rPr/>
              <w:t>traffic</w:t>
            </w:r>
          </w:p>
          <w:p>
            <w:pPr>
              <w:pStyle w:val="NormalWeb"/>
              <w:numPr>
                <w:ilvl w:val="0"/>
                <w:numId w:val="16"/>
              </w:numPr>
              <w:tabs>
                <w:tab w:val="left" w:pos="720" w:leader="none"/>
              </w:tabs>
              <w:bidi w:val="0"/>
              <w:spacing w:before="0" w:after="100"/>
              <w:ind w:hanging="360" w:left="720" w:right="0"/>
              <w:rPr>
                <w:rFonts w:ascii="Times New Roman" w:hAnsi="Times New Roman"/>
              </w:rPr>
            </w:pPr>
            <w:r>
              <w:rPr/>
              <w:t>noise</w:t>
            </w:r>
          </w:p>
          <w:p>
            <w:pPr>
              <w:pStyle w:val="NormalWeb"/>
              <w:bidi w:val="0"/>
              <w:spacing w:before="100" w:after="100"/>
              <w:rPr>
                <w:rFonts w:ascii="Times New Roman" w:hAnsi="Times New Roman"/>
              </w:rPr>
            </w:pPr>
            <w:r>
              <w:rPr/>
              <w:t>are not assessed.</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§176–177)</w:t>
            </w:r>
          </w:p>
          <w:p>
            <w:pPr>
              <w:pStyle w:val="NormalWeb"/>
              <w:bidi w:val="0"/>
              <w:spacing w:before="100" w:after="100"/>
              <w:rPr>
                <w:rFonts w:ascii="Times New Roman" w:hAnsi="Times New Roman"/>
              </w:rPr>
            </w:pPr>
            <w:r>
              <w:rPr/>
              <w:t>The plan does not demonstrate:</w:t>
            </w:r>
          </w:p>
          <w:p>
            <w:pPr>
              <w:pStyle w:val="NormalWeb"/>
              <w:numPr>
                <w:ilvl w:val="0"/>
                <w:numId w:val="17"/>
              </w:numPr>
              <w:tabs>
                <w:tab w:val="left" w:pos="720" w:leader="none"/>
              </w:tabs>
              <w:bidi w:val="0"/>
              <w:spacing w:before="100" w:after="0"/>
              <w:ind w:hanging="360" w:left="720" w:right="0"/>
              <w:rPr>
                <w:rFonts w:ascii="Times New Roman" w:hAnsi="Times New Roman"/>
              </w:rPr>
            </w:pPr>
            <w:r>
              <w:rPr/>
              <w:t>great weight to conserving landscape beauty</w:t>
            </w:r>
          </w:p>
          <w:p>
            <w:pPr>
              <w:pStyle w:val="NormalWeb"/>
              <w:numPr>
                <w:ilvl w:val="0"/>
                <w:numId w:val="17"/>
              </w:numPr>
              <w:tabs>
                <w:tab w:val="left" w:pos="720" w:leader="none"/>
              </w:tabs>
              <w:bidi w:val="0"/>
              <w:spacing w:before="0" w:after="0"/>
              <w:ind w:hanging="360" w:left="720" w:right="0"/>
              <w:rPr>
                <w:rFonts w:ascii="Times New Roman" w:hAnsi="Times New Roman"/>
              </w:rPr>
            </w:pPr>
            <w:r>
              <w:rPr/>
              <w:t>protection of AONB setting</w:t>
            </w:r>
          </w:p>
          <w:p>
            <w:pPr>
              <w:pStyle w:val="NormalWeb"/>
              <w:numPr>
                <w:ilvl w:val="0"/>
                <w:numId w:val="17"/>
              </w:numPr>
              <w:tabs>
                <w:tab w:val="left" w:pos="720" w:leader="none"/>
              </w:tabs>
              <w:bidi w:val="0"/>
              <w:spacing w:before="0" w:after="0"/>
              <w:ind w:hanging="360" w:left="720" w:right="0"/>
              <w:rPr>
                <w:rFonts w:ascii="Times New Roman" w:hAnsi="Times New Roman"/>
              </w:rPr>
            </w:pPr>
            <w:r>
              <w:rPr/>
              <w:t>avoidance of harm to key views</w:t>
            </w:r>
          </w:p>
          <w:p>
            <w:pPr>
              <w:pStyle w:val="NormalWeb"/>
              <w:numPr>
                <w:ilvl w:val="0"/>
                <w:numId w:val="17"/>
              </w:numPr>
              <w:tabs>
                <w:tab w:val="left" w:pos="720" w:leader="none"/>
              </w:tabs>
              <w:bidi w:val="0"/>
              <w:spacing w:before="0" w:after="0"/>
              <w:ind w:hanging="360" w:left="720" w:right="0"/>
              <w:rPr>
                <w:rFonts w:ascii="Times New Roman" w:hAnsi="Times New Roman"/>
              </w:rPr>
            </w:pPr>
            <w:r>
              <w:rPr/>
              <w:t>protection of tranquillity</w:t>
            </w:r>
          </w:p>
          <w:p>
            <w:pPr>
              <w:pStyle w:val="NormalWeb"/>
              <w:numPr>
                <w:ilvl w:val="0"/>
                <w:numId w:val="17"/>
              </w:numPr>
              <w:tabs>
                <w:tab w:val="left" w:pos="720" w:leader="none"/>
              </w:tabs>
              <w:bidi w:val="0"/>
              <w:spacing w:before="0" w:after="0"/>
              <w:ind w:hanging="360" w:left="720" w:right="0"/>
              <w:rPr>
                <w:rFonts w:ascii="Times New Roman" w:hAnsi="Times New Roman"/>
              </w:rPr>
            </w:pPr>
            <w:r>
              <w:rPr/>
              <w:t>protection of dark skies</w:t>
            </w:r>
          </w:p>
          <w:p>
            <w:pPr>
              <w:pStyle w:val="NormalWeb"/>
              <w:numPr>
                <w:ilvl w:val="0"/>
                <w:numId w:val="17"/>
              </w:numPr>
              <w:tabs>
                <w:tab w:val="left" w:pos="720" w:leader="none"/>
              </w:tabs>
              <w:bidi w:val="0"/>
              <w:spacing w:before="0" w:after="100"/>
              <w:ind w:hanging="360" w:left="720" w:right="0"/>
              <w:rPr>
                <w:rFonts w:ascii="Times New Roman" w:hAnsi="Times New Roman"/>
              </w:rPr>
            </w:pPr>
            <w:r>
              <w:rPr/>
              <w:t>landscape</w:t>
              <w:noBreakHyphen/>
              <w:t>led planning</w:t>
            </w:r>
          </w:p>
          <w:p>
            <w:pPr>
              <w:pStyle w:val="NormalWeb"/>
              <w:bidi w:val="0"/>
              <w:spacing w:before="100" w:after="100"/>
              <w:rPr>
                <w:rFonts w:ascii="Times New Roman" w:hAnsi="Times New Roman"/>
              </w:rPr>
            </w:pPr>
            <w:r>
              <w:rPr/>
              <w:t>This is a direct conflict with national policy.</w:t>
            </w:r>
          </w:p>
          <w:p>
            <w:pPr>
              <w:pStyle w:val="NormalWeb"/>
              <w:bidi w:val="0"/>
              <w:spacing w:before="100" w:after="100"/>
              <w:rPr>
                <w:rFonts w:ascii="Times New Roman" w:hAnsi="Times New Roman"/>
              </w:rPr>
            </w:pPr>
            <w:r>
              <w:rPr/>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viewpoint</w:t>
              <w:noBreakHyphen/>
              <w:t>specific AONB setting assessment</w:t>
            </w:r>
          </w:p>
          <w:p>
            <w:pPr>
              <w:pStyle w:val="NormalWeb"/>
              <w:bidi w:val="0"/>
              <w:spacing w:before="100" w:after="100"/>
              <w:rPr>
                <w:rFonts w:ascii="Times New Roman" w:hAnsi="Times New Roman"/>
              </w:rPr>
            </w:pPr>
            <w:r>
              <w:rPr/>
              <w:t>Including:</w:t>
            </w:r>
          </w:p>
          <w:p>
            <w:pPr>
              <w:pStyle w:val="NormalWeb"/>
              <w:numPr>
                <w:ilvl w:val="0"/>
                <w:numId w:val="18"/>
              </w:numPr>
              <w:tabs>
                <w:tab w:val="left" w:pos="720" w:leader="none"/>
              </w:tabs>
              <w:bidi w:val="0"/>
              <w:spacing w:before="100" w:after="0"/>
              <w:ind w:hanging="360" w:left="720" w:right="0"/>
              <w:rPr>
                <w:rFonts w:ascii="Times New Roman" w:hAnsi="Times New Roman"/>
              </w:rPr>
            </w:pPr>
            <w:r>
              <w:rPr/>
              <w:t>Dover’s Hill</w:t>
            </w:r>
          </w:p>
          <w:p>
            <w:pPr>
              <w:pStyle w:val="NormalWeb"/>
              <w:numPr>
                <w:ilvl w:val="0"/>
                <w:numId w:val="18"/>
              </w:numPr>
              <w:tabs>
                <w:tab w:val="left" w:pos="720" w:leader="none"/>
              </w:tabs>
              <w:bidi w:val="0"/>
              <w:spacing w:before="0" w:after="0"/>
              <w:ind w:hanging="360" w:left="720" w:right="0"/>
              <w:rPr>
                <w:rFonts w:ascii="Times New Roman" w:hAnsi="Times New Roman"/>
              </w:rPr>
            </w:pPr>
            <w:r>
              <w:rPr/>
              <w:t>Broadway Tower</w:t>
            </w:r>
          </w:p>
          <w:p>
            <w:pPr>
              <w:pStyle w:val="NormalWeb"/>
              <w:numPr>
                <w:ilvl w:val="0"/>
                <w:numId w:val="18"/>
              </w:numPr>
              <w:tabs>
                <w:tab w:val="left" w:pos="720" w:leader="none"/>
              </w:tabs>
              <w:bidi w:val="0"/>
              <w:spacing w:before="0" w:after="0"/>
              <w:ind w:hanging="360" w:left="720" w:right="0"/>
              <w:rPr>
                <w:rFonts w:ascii="Times New Roman" w:hAnsi="Times New Roman"/>
              </w:rPr>
            </w:pPr>
            <w:r>
              <w:rPr/>
              <w:t>Fish Hill</w:t>
            </w:r>
          </w:p>
          <w:p>
            <w:pPr>
              <w:pStyle w:val="NormalWeb"/>
              <w:numPr>
                <w:ilvl w:val="0"/>
                <w:numId w:val="18"/>
              </w:numPr>
              <w:tabs>
                <w:tab w:val="left" w:pos="720" w:leader="none"/>
              </w:tabs>
              <w:bidi w:val="0"/>
              <w:spacing w:before="0" w:after="0"/>
              <w:ind w:hanging="360" w:left="720" w:right="0"/>
              <w:rPr>
                <w:rFonts w:ascii="Times New Roman" w:hAnsi="Times New Roman"/>
              </w:rPr>
            </w:pPr>
            <w:r>
              <w:rPr/>
              <w:t>Ilmington Downs</w:t>
            </w:r>
          </w:p>
          <w:p>
            <w:pPr>
              <w:pStyle w:val="NormalWeb"/>
              <w:numPr>
                <w:ilvl w:val="0"/>
                <w:numId w:val="18"/>
              </w:numPr>
              <w:tabs>
                <w:tab w:val="left" w:pos="720" w:leader="none"/>
              </w:tabs>
              <w:bidi w:val="0"/>
              <w:spacing w:before="0" w:after="0"/>
              <w:ind w:hanging="360" w:left="720" w:right="0"/>
              <w:rPr>
                <w:rFonts w:ascii="Times New Roman" w:hAnsi="Times New Roman"/>
              </w:rPr>
            </w:pPr>
            <w:r>
              <w:rPr/>
              <w:t>Hidcote Ridge</w:t>
            </w:r>
          </w:p>
          <w:p>
            <w:pPr>
              <w:pStyle w:val="NormalWeb"/>
              <w:numPr>
                <w:ilvl w:val="0"/>
                <w:numId w:val="18"/>
              </w:numPr>
              <w:tabs>
                <w:tab w:val="left" w:pos="720" w:leader="none"/>
              </w:tabs>
              <w:bidi w:val="0"/>
              <w:spacing w:before="0" w:after="0"/>
              <w:ind w:hanging="360" w:left="720" w:right="0"/>
              <w:rPr>
                <w:rFonts w:ascii="Times New Roman" w:hAnsi="Times New Roman"/>
              </w:rPr>
            </w:pPr>
            <w:r>
              <w:rPr/>
              <w:t>cumulative impacts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landscape</w:t>
              <w:noBreakHyphen/>
              <w:t>led masterplan</w:t>
            </w:r>
          </w:p>
          <w:p>
            <w:pPr>
              <w:pStyle w:val="NormalWeb"/>
              <w:bidi w:val="0"/>
              <w:spacing w:before="100" w:after="100"/>
              <w:rPr>
                <w:rFonts w:ascii="Times New Roman" w:hAnsi="Times New Roman"/>
              </w:rPr>
            </w:pPr>
            <w:r>
              <w:rPr/>
              <w:t>Including:</w:t>
            </w:r>
          </w:p>
          <w:p>
            <w:pPr>
              <w:pStyle w:val="NormalWeb"/>
              <w:numPr>
                <w:ilvl w:val="0"/>
                <w:numId w:val="19"/>
              </w:numPr>
              <w:tabs>
                <w:tab w:val="left" w:pos="720" w:leader="none"/>
              </w:tabs>
              <w:bidi w:val="0"/>
              <w:spacing w:before="100" w:after="0"/>
              <w:ind w:hanging="360" w:left="720" w:right="0"/>
              <w:rPr>
                <w:rFonts w:ascii="Times New Roman" w:hAnsi="Times New Roman"/>
              </w:rPr>
            </w:pPr>
            <w:r>
              <w:rPr/>
              <w:t>height/massing controls</w:t>
            </w:r>
          </w:p>
          <w:p>
            <w:pPr>
              <w:pStyle w:val="NormalWeb"/>
              <w:numPr>
                <w:ilvl w:val="0"/>
                <w:numId w:val="19"/>
              </w:numPr>
              <w:tabs>
                <w:tab w:val="left" w:pos="720" w:leader="none"/>
              </w:tabs>
              <w:bidi w:val="0"/>
              <w:spacing w:before="0" w:after="0"/>
              <w:ind w:hanging="360" w:left="720" w:right="0"/>
              <w:rPr>
                <w:rFonts w:ascii="Times New Roman" w:hAnsi="Times New Roman"/>
              </w:rPr>
            </w:pPr>
            <w:r>
              <w:rPr/>
              <w:t>landscape buffers</w:t>
            </w:r>
          </w:p>
          <w:p>
            <w:pPr>
              <w:pStyle w:val="NormalWeb"/>
              <w:numPr>
                <w:ilvl w:val="0"/>
                <w:numId w:val="19"/>
              </w:numPr>
              <w:tabs>
                <w:tab w:val="left" w:pos="720" w:leader="none"/>
              </w:tabs>
              <w:bidi w:val="0"/>
              <w:spacing w:before="0" w:after="0"/>
              <w:ind w:hanging="360" w:left="720" w:right="0"/>
              <w:rPr>
                <w:rFonts w:ascii="Times New Roman" w:hAnsi="Times New Roman"/>
              </w:rPr>
            </w:pPr>
            <w:r>
              <w:rPr/>
              <w:t>view corridors</w:t>
            </w:r>
          </w:p>
          <w:p>
            <w:pPr>
              <w:pStyle w:val="NormalWeb"/>
              <w:numPr>
                <w:ilvl w:val="0"/>
                <w:numId w:val="19"/>
              </w:numPr>
              <w:tabs>
                <w:tab w:val="left" w:pos="720" w:leader="none"/>
              </w:tabs>
              <w:bidi w:val="0"/>
              <w:spacing w:before="0" w:after="0"/>
              <w:ind w:hanging="360" w:left="720" w:right="0"/>
              <w:rPr>
                <w:rFonts w:ascii="Times New Roman" w:hAnsi="Times New Roman"/>
              </w:rPr>
            </w:pPr>
            <w:r>
              <w:rPr/>
              <w:t>dark skies protection</w:t>
            </w:r>
          </w:p>
          <w:p>
            <w:pPr>
              <w:pStyle w:val="NormalWeb"/>
              <w:numPr>
                <w:ilvl w:val="0"/>
                <w:numId w:val="19"/>
              </w:numPr>
              <w:tabs>
                <w:tab w:val="left" w:pos="720" w:leader="none"/>
              </w:tabs>
              <w:bidi w:val="0"/>
              <w:spacing w:before="0" w:after="0"/>
              <w:ind w:hanging="360" w:left="720" w:right="0"/>
              <w:rPr>
                <w:rFonts w:ascii="Times New Roman" w:hAnsi="Times New Roman"/>
              </w:rPr>
            </w:pPr>
            <w:r>
              <w:rPr/>
              <w:t>settlement edge design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binding phasing and mitigation requirements</w:t>
            </w:r>
          </w:p>
          <w:p>
            <w:pPr>
              <w:pStyle w:val="NormalWeb"/>
              <w:bidi w:val="0"/>
              <w:spacing w:before="100" w:after="100"/>
              <w:rPr>
                <w:rFonts w:ascii="Times New Roman" w:hAnsi="Times New Roman"/>
              </w:rPr>
            </w:pPr>
            <w:r>
              <w:rPr/>
              <w:t>Occupation must be prohibited until:</w:t>
            </w:r>
          </w:p>
          <w:p>
            <w:pPr>
              <w:pStyle w:val="NormalWeb"/>
              <w:numPr>
                <w:ilvl w:val="0"/>
                <w:numId w:val="20"/>
              </w:numPr>
              <w:tabs>
                <w:tab w:val="left" w:pos="720" w:leader="none"/>
              </w:tabs>
              <w:bidi w:val="0"/>
              <w:spacing w:before="100" w:after="0"/>
              <w:ind w:hanging="360" w:left="720" w:right="0"/>
              <w:rPr>
                <w:rFonts w:ascii="Times New Roman" w:hAnsi="Times New Roman"/>
              </w:rPr>
            </w:pPr>
            <w:r>
              <w:rPr/>
              <w:t>landscape mitigation is implemented</w:t>
            </w:r>
          </w:p>
          <w:p>
            <w:pPr>
              <w:pStyle w:val="NormalWeb"/>
              <w:numPr>
                <w:ilvl w:val="0"/>
                <w:numId w:val="20"/>
              </w:numPr>
              <w:tabs>
                <w:tab w:val="left" w:pos="720" w:leader="none"/>
              </w:tabs>
              <w:bidi w:val="0"/>
              <w:spacing w:before="0" w:after="0"/>
              <w:ind w:hanging="360" w:left="720" w:right="0"/>
              <w:rPr>
                <w:rFonts w:ascii="Times New Roman" w:hAnsi="Times New Roman"/>
              </w:rPr>
            </w:pPr>
            <w:r>
              <w:rPr/>
              <w:t>view corridors are secured</w:t>
            </w:r>
          </w:p>
          <w:p>
            <w:pPr>
              <w:pStyle w:val="NormalWeb"/>
              <w:numPr>
                <w:ilvl w:val="0"/>
                <w:numId w:val="20"/>
              </w:numPr>
              <w:tabs>
                <w:tab w:val="left" w:pos="720" w:leader="none"/>
              </w:tabs>
              <w:bidi w:val="0"/>
              <w:spacing w:before="0" w:after="0"/>
              <w:ind w:hanging="360" w:left="720" w:right="0"/>
              <w:rPr>
                <w:rFonts w:ascii="Times New Roman" w:hAnsi="Times New Roman"/>
              </w:rPr>
            </w:pPr>
            <w:r>
              <w:rPr/>
              <w:t>buffers are established</w:t>
            </w:r>
          </w:p>
          <w:p>
            <w:pPr>
              <w:pStyle w:val="NormalWeb"/>
              <w:numPr>
                <w:ilvl w:val="0"/>
                <w:numId w:val="20"/>
              </w:numPr>
              <w:tabs>
                <w:tab w:val="left" w:pos="720" w:leader="none"/>
              </w:tabs>
              <w:bidi w:val="0"/>
              <w:spacing w:before="0" w:after="0"/>
              <w:ind w:hanging="360" w:left="720" w:right="0"/>
              <w:rPr>
                <w:rFonts w:ascii="Times New Roman" w:hAnsi="Times New Roman"/>
              </w:rPr>
            </w:pPr>
            <w:r>
              <w:rPr/>
              <w:t>lighting controls are in place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AONB setting impacts cannot be mitigated, the allocation must be:</w:t>
            </w:r>
          </w:p>
          <w:p>
            <w:pPr>
              <w:pStyle w:val="NormalWeb"/>
              <w:numPr>
                <w:ilvl w:val="0"/>
                <w:numId w:val="21"/>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21"/>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21"/>
              </w:numPr>
              <w:tabs>
                <w:tab w:val="left" w:pos="720" w:leader="none"/>
              </w:tabs>
              <w:bidi w:val="0"/>
              <w:spacing w:before="0" w:after="0"/>
              <w:ind w:hanging="360" w:left="720" w:right="0"/>
              <w:rPr>
                <w:rFonts w:ascii="Times New Roman" w:hAnsi="Times New Roman"/>
              </w:rPr>
            </w:pPr>
            <w:r>
              <w:rPr/>
              <w:t>or replaced with less sensitive alternatives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viewpoint</w:t>
              <w:noBreakHyphen/>
              <w:t>specific assessment</w:t>
            </w:r>
            <w:r>
              <w:rPr/>
              <w:t xml:space="preserve"> of impacts on the Cotswolds National Landscape (AONB) and </w:t>
            </w:r>
            <w:r>
              <w:rPr>
                <w:rStyle w:val="Strong"/>
                <w:lang w:val="en-GB" w:eastAsia="en-GB" w:bidi="ar-SA"/>
              </w:rPr>
              <w:t>no mitigation strategy</w:t>
            </w:r>
            <w:r>
              <w:rPr/>
              <w:t>.</w:t>
            </w:r>
          </w:p>
          <w:p>
            <w:pPr>
              <w:pStyle w:val="NormalWeb"/>
              <w:bidi w:val="0"/>
              <w:spacing w:before="100" w:after="100"/>
              <w:rPr>
                <w:rFonts w:ascii="Times New Roman" w:hAnsi="Times New Roman"/>
              </w:rPr>
            </w:pPr>
            <w:r>
              <w:rPr/>
              <w:t>The allocation is:</w:t>
            </w:r>
          </w:p>
          <w:p>
            <w:pPr>
              <w:pStyle w:val="NormalWeb"/>
              <w:numPr>
                <w:ilvl w:val="0"/>
                <w:numId w:val="22"/>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p>
          <w:p>
            <w:pPr>
              <w:pStyle w:val="NormalWeb"/>
              <w:numPr>
                <w:ilvl w:val="0"/>
                <w:numId w:val="22"/>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p>
          <w:p>
            <w:pPr>
              <w:pStyle w:val="NormalWeb"/>
              <w:numPr>
                <w:ilvl w:val="0"/>
                <w:numId w:val="22"/>
              </w:numPr>
              <w:tabs>
                <w:tab w:val="left" w:pos="720" w:leader="none"/>
              </w:tabs>
              <w:bidi w:val="0"/>
              <w:spacing w:before="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Application>LibreOffice/26.2.5.2$Windows_X86_64 LibreOffice_project/cd7284b4cbbfeb507e630c1aac019f4157393acb</Application>
  <AppVersion>15.0000</AppVersion>
  <Pages>9</Pages>
  <Words>1777</Words>
  <Characters>9701</Characters>
  <CharactersWithSpaces>11211</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2026-08-28T13:57:15Z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