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7"/>
        <w:gridCol w:w="1630"/>
        <w:gridCol w:w="673"/>
        <w:gridCol w:w="713"/>
        <w:gridCol w:w="283"/>
        <w:gridCol w:w="284"/>
        <w:gridCol w:w="1924"/>
        <w:gridCol w:w="1107"/>
        <w:gridCol w:w="269"/>
      </w:tblGrid>
      <w:tr>
        <w:trPr>
          <w:trHeight w:val="1104" w:hRule="atLeast"/>
          <w:cantSplit/>
        </w:trPr>
        <w:tc>
          <w:tcPr>
            <w:tcW w:w="2163"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7"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3" w:type="dxa"/>
            <w:gridSpan w:val="2"/>
            <w:vMerge w:val="continue"/>
            <w:tcBorders/>
            <w:vAlign w:val="bottom"/>
          </w:tcPr>
          <w:p>
            <w:pPr>
              <w:pStyle w:val="Normal"/>
              <w:ind w:firstLine="3" w:left="-3"/>
              <w:rPr>
                <w:rFonts w:ascii="Arial" w:hAnsi="Arial" w:cs="Arial"/>
              </w:rPr>
            </w:pPr>
            <w:r>
              <w:rPr>
                <w:rFonts w:cs="Arial" w:ascii="Arial" w:hAnsi="Arial"/>
              </w:rPr>
            </w:r>
          </w:p>
        </w:tc>
        <w:tc>
          <w:tcPr>
            <w:tcW w:w="5507"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3" w:type="dxa"/>
            <w:gridSpan w:val="2"/>
            <w:vMerge w:val="continue"/>
            <w:tcBorders/>
            <w:vAlign w:val="bottom"/>
          </w:tcPr>
          <w:p>
            <w:pPr>
              <w:pStyle w:val="Normal"/>
              <w:ind w:firstLine="3" w:left="-3"/>
              <w:rPr>
                <w:rFonts w:ascii="Arial" w:hAnsi="Arial" w:cs="Arial"/>
              </w:rPr>
            </w:pPr>
            <w:r>
              <w:rPr>
                <w:rFonts w:cs="Arial" w:ascii="Arial" w:hAnsi="Arial"/>
              </w:rPr>
            </w:r>
          </w:p>
        </w:tc>
        <w:tc>
          <w:tcPr>
            <w:tcW w:w="5507"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7"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3" w:type="dxa"/>
            <w:tcBorders>
              <w:top w:val="double" w:sz="4" w:space="0" w:color="000000"/>
            </w:tcBorders>
            <w:vAlign w:val="bottom"/>
          </w:tcPr>
          <w:p>
            <w:pPr>
              <w:pStyle w:val="BodyText"/>
              <w:rPr>
                <w:rFonts w:ascii="Arial" w:hAnsi="Arial" w:cs="Arial"/>
              </w:rPr>
            </w:pPr>
            <w:r>
              <w:rPr>
                <w:rFonts w:cs="Arial" w:ascii="Arial" w:hAnsi="Arial"/>
              </w:rPr>
            </w:r>
          </w:p>
        </w:tc>
        <w:tc>
          <w:tcPr>
            <w:tcW w:w="713" w:type="dxa"/>
            <w:tcBorders>
              <w:top w:val="double" w:sz="4" w:space="0" w:color="000000"/>
            </w:tcBorders>
            <w:vAlign w:val="bottom"/>
          </w:tcPr>
          <w:p>
            <w:pPr>
              <w:pStyle w:val="BodyText"/>
              <w:rPr>
                <w:rFonts w:ascii="Arial" w:hAnsi="Arial" w:cs="Arial"/>
              </w:rPr>
            </w:pPr>
            <w:r>
              <w:rPr>
                <w:rFonts w:cs="Arial" w:ascii="Arial" w:hAnsi="Arial"/>
              </w:rPr>
            </w:r>
          </w:p>
        </w:tc>
        <w:tc>
          <w:tcPr>
            <w:tcW w:w="283"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7"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7"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7"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7"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7"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71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20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20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9"/>
        <w:gridCol w:w="1135"/>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w:t>
            </w:r>
          </w:p>
        </w:tc>
        <w:tc>
          <w:tcPr>
            <w:tcW w:w="1719"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5"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BN.2</w:t>
            </w:r>
          </w:p>
          <w:p>
            <w:pPr>
              <w:pStyle w:val="Normal"/>
              <w:rPr>
                <w:rFonts w:ascii="Arial" w:hAnsi="Arial" w:cs="Arial"/>
              </w:rPr>
            </w:pPr>
            <w:r>
              <w:rPr>
                <w:rFonts w:cs="Arial" w:ascii="Arial" w:hAnsi="Arial"/>
              </w:rPr>
              <w:t>BN.5</w:t>
            </w:r>
          </w:p>
          <w:p>
            <w:pPr>
              <w:pStyle w:val="Normal"/>
              <w:rPr>
                <w:rFonts w:ascii="Arial" w:hAnsi="Arial" w:cs="Arial"/>
              </w:rPr>
            </w:pPr>
            <w:r>
              <w:rPr>
                <w:rFonts w:cs="Arial" w:ascii="Arial" w:hAnsi="Arial"/>
              </w:rPr>
              <w:t>DS.17</w:t>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9" w:type="dxa"/>
            <w:tcBorders/>
          </w:tcPr>
          <w:p>
            <w:pPr>
              <w:pStyle w:val="Normal"/>
              <w:jc w:val="right"/>
              <w:rPr>
                <w:rFonts w:ascii="Arial" w:hAnsi="Arial" w:cs="Arial"/>
              </w:rPr>
            </w:pPr>
            <w:r>
              <w:rPr>
                <w:rFonts w:cs="Arial" w:ascii="Arial" w:hAnsi="Arial"/>
              </w:rPr>
            </w:r>
          </w:p>
        </w:tc>
        <w:tc>
          <w:tcPr>
            <w:tcW w:w="1135"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9"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5"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9" w:type="dxa"/>
            <w:tcBorders/>
          </w:tcPr>
          <w:p>
            <w:pPr>
              <w:pStyle w:val="Normal"/>
              <w:jc w:val="right"/>
              <w:rPr>
                <w:rFonts w:ascii="Arial" w:hAnsi="Arial" w:cs="Arial"/>
              </w:rPr>
            </w:pPr>
            <w:r>
              <w:rPr>
                <w:rFonts w:cs="Arial" w:ascii="Arial" w:hAnsi="Arial"/>
              </w:rPr>
            </w:r>
          </w:p>
        </w:tc>
        <w:tc>
          <w:tcPr>
            <w:tcW w:w="1135"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Style w:val="Strong"/>
                <w:rFonts w:cs="Arial"/>
                <w:b w:val="false"/>
                <w:lang w:val="en-GB" w:eastAsia="en-GB" w:bidi="ar-SA"/>
              </w:rPr>
              <w:t>Cotswolds AONB / National Landscape Objection</w:t>
            </w:r>
          </w:p>
          <w:p>
            <w:pPr>
              <w:pStyle w:val="Normal"/>
              <w:rPr>
                <w:rFonts w:ascii="Arial" w:hAnsi="Arial" w:cs="Arial"/>
              </w:rPr>
            </w:pPr>
            <w:r>
              <w:rPr>
                <w:rFonts w:cs="Arial" w:ascii="Arial" w:hAnsi="Arial"/>
              </w:rPr>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because the SWLP Reg 19 Publication Version </w:t>
            </w:r>
            <w:r>
              <w:rPr>
                <w:rStyle w:val="Strong"/>
                <w:lang w:val="en-GB" w:eastAsia="en-GB" w:bidi="ar-SA"/>
              </w:rPr>
              <w:t>fails to assess or mitigate impacts on the Cotswolds National Landscape (AONB)</w:t>
            </w:r>
            <w:r>
              <w:rPr/>
              <w:t xml:space="preserve">, despite the site lying within the </w:t>
            </w:r>
            <w:r>
              <w:rPr>
                <w:rStyle w:val="Strong"/>
                <w:lang w:val="en-GB" w:eastAsia="en-GB" w:bidi="ar-SA"/>
              </w:rPr>
              <w:t>3km AONB setting zone</w:t>
            </w:r>
            <w:r>
              <w:rPr/>
              <w:t xml:space="preserve"> and forming part of the </w:t>
            </w:r>
            <w:r>
              <w:rPr>
                <w:rStyle w:val="Strong"/>
                <w:lang w:val="en-GB" w:eastAsia="en-GB" w:bidi="ar-SA"/>
              </w:rPr>
              <w:t>foreground landscape</w:t>
            </w:r>
            <w:r>
              <w:rPr/>
              <w:t xml:space="preserve"> visible from multiple elevated viewpoints along the Cotswolds escarpment.</w:t>
            </w:r>
          </w:p>
          <w:p>
            <w:pPr>
              <w:pStyle w:val="NormalWeb"/>
              <w:bidi w:val="0"/>
              <w:spacing w:before="100" w:after="100"/>
              <w:rPr>
                <w:rFonts w:ascii="Times New Roman" w:hAnsi="Times New Roman"/>
              </w:rPr>
            </w:pPr>
            <w:r>
              <w:rPr/>
              <w:t>The plan provides:</w:t>
            </w:r>
          </w:p>
          <w:p>
            <w:pPr>
              <w:pStyle w:val="NormalWeb"/>
              <w:numPr>
                <w:ilvl w:val="0"/>
                <w:numId w:val="11"/>
              </w:numPr>
              <w:tabs>
                <w:tab w:val="left" w:pos="720" w:leader="none"/>
              </w:tabs>
              <w:bidi w:val="0"/>
              <w:spacing w:before="100" w:after="0"/>
              <w:rPr/>
            </w:pPr>
            <w:r>
              <w:rPr>
                <w:rStyle w:val="Strong"/>
                <w:lang w:val="en-GB" w:eastAsia="en-GB" w:bidi="ar-SA"/>
              </w:rPr>
              <w:t>no AONB setting assessment</w:t>
            </w:r>
          </w:p>
          <w:p>
            <w:pPr>
              <w:pStyle w:val="NormalWeb"/>
              <w:numPr>
                <w:ilvl w:val="0"/>
                <w:numId w:val="11"/>
              </w:numPr>
              <w:tabs>
                <w:tab w:val="left" w:pos="720" w:leader="none"/>
              </w:tabs>
              <w:bidi w:val="0"/>
              <w:spacing w:before="0" w:after="0"/>
              <w:rPr/>
            </w:pPr>
            <w:r>
              <w:rPr>
                <w:rStyle w:val="Strong"/>
                <w:lang w:val="en-GB" w:eastAsia="en-GB" w:bidi="ar-SA"/>
              </w:rPr>
              <w:t>no landscape sensitivity study</w:t>
            </w:r>
          </w:p>
          <w:p>
            <w:pPr>
              <w:pStyle w:val="NormalWeb"/>
              <w:numPr>
                <w:ilvl w:val="0"/>
                <w:numId w:val="11"/>
              </w:numPr>
              <w:tabs>
                <w:tab w:val="left" w:pos="720" w:leader="none"/>
              </w:tabs>
              <w:bidi w:val="0"/>
              <w:spacing w:before="0" w:after="0"/>
              <w:rPr/>
            </w:pPr>
            <w:r>
              <w:rPr>
                <w:rStyle w:val="Strong"/>
                <w:lang w:val="en-GB" w:eastAsia="en-GB" w:bidi="ar-SA"/>
              </w:rPr>
              <w:t>no view analysis</w:t>
            </w:r>
          </w:p>
          <w:p>
            <w:pPr>
              <w:pStyle w:val="NormalWeb"/>
              <w:numPr>
                <w:ilvl w:val="0"/>
                <w:numId w:val="11"/>
              </w:numPr>
              <w:tabs>
                <w:tab w:val="left" w:pos="720" w:leader="none"/>
              </w:tabs>
              <w:bidi w:val="0"/>
              <w:spacing w:before="0" w:after="0"/>
              <w:rPr/>
            </w:pPr>
            <w:r>
              <w:rPr>
                <w:rStyle w:val="Strong"/>
                <w:lang w:val="en-GB" w:eastAsia="en-GB" w:bidi="ar-SA"/>
              </w:rPr>
              <w:t>no tranquillity or dark skies assessment</w:t>
            </w:r>
          </w:p>
          <w:p>
            <w:pPr>
              <w:pStyle w:val="NormalWeb"/>
              <w:numPr>
                <w:ilvl w:val="0"/>
                <w:numId w:val="11"/>
              </w:numPr>
              <w:tabs>
                <w:tab w:val="left" w:pos="720" w:leader="none"/>
              </w:tabs>
              <w:bidi w:val="0"/>
              <w:spacing w:before="0" w:after="0"/>
              <w:rPr/>
            </w:pPr>
            <w:r>
              <w:rPr>
                <w:rStyle w:val="Strong"/>
                <w:lang w:val="en-GB" w:eastAsia="en-GB" w:bidi="ar-SA"/>
              </w:rPr>
              <w:t>no mitigation strategy</w:t>
            </w:r>
          </w:p>
          <w:p>
            <w:pPr>
              <w:pStyle w:val="NormalWeb"/>
              <w:numPr>
                <w:ilvl w:val="0"/>
                <w:numId w:val="11"/>
              </w:numPr>
              <w:tabs>
                <w:tab w:val="left" w:pos="720" w:leader="none"/>
              </w:tabs>
              <w:bidi w:val="0"/>
              <w:spacing w:before="0" w:after="100"/>
              <w:rPr>
                <w:rFonts w:ascii="Times New Roman" w:hAnsi="Times New Roman"/>
              </w:rPr>
            </w:pPr>
            <w:r>
              <w:rPr>
                <w:rStyle w:val="Strong"/>
                <w:lang w:val="en-GB" w:eastAsia="en-GB" w:bidi="ar-SA"/>
              </w:rPr>
              <w:t>no cumulative impact assessment</w:t>
            </w:r>
          </w:p>
          <w:p>
            <w:pPr>
              <w:pStyle w:val="NormalWeb"/>
              <w:bidi w:val="0"/>
              <w:spacing w:before="100" w:after="100"/>
              <w:rPr>
                <w:rFonts w:ascii="Times New Roman" w:hAnsi="Times New Roman"/>
              </w:rPr>
            </w:pPr>
            <w:r>
              <w:rPr/>
              <w:t xml:space="preserve">This omission renders the allocation </w:t>
            </w:r>
            <w:r>
              <w:rPr>
                <w:rStyle w:val="Strong"/>
                <w:lang w:val="en-GB" w:eastAsia="en-GB" w:bidi="ar-SA"/>
              </w:rPr>
              <w:t>unsound</w:t>
            </w:r>
            <w:r>
              <w:rPr/>
              <w:t>.</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Relevant SWLP References</w:t>
            </w:r>
          </w:p>
          <w:p>
            <w:pPr>
              <w:pStyle w:val="NormalWeb"/>
              <w:numPr>
                <w:ilvl w:val="0"/>
                <w:numId w:val="3"/>
              </w:numPr>
              <w:tabs>
                <w:tab w:val="left" w:pos="720" w:leader="none"/>
              </w:tabs>
              <w:bidi w:val="0"/>
              <w:spacing w:before="100" w:after="0"/>
              <w:ind w:hanging="360" w:left="720" w:right="0"/>
              <w:rPr>
                <w:rFonts w:ascii="Times New Roman" w:hAnsi="Times New Roman"/>
              </w:rPr>
            </w:pPr>
            <w:r>
              <w:rPr>
                <w:rStyle w:val="Strong"/>
                <w:lang w:val="en-GB" w:eastAsia="en-GB" w:bidi="ar-SA"/>
              </w:rPr>
              <w:t>BN.2 – Landscape Character</w:t>
            </w:r>
          </w:p>
          <w:p>
            <w:pPr>
              <w:pStyle w:val="NormalWeb"/>
              <w:numPr>
                <w:ilvl w:val="0"/>
                <w:numId w:val="3"/>
              </w:numPr>
              <w:tabs>
                <w:tab w:val="left" w:pos="720" w:leader="none"/>
              </w:tabs>
              <w:bidi w:val="0"/>
              <w:spacing w:before="0" w:after="0"/>
              <w:ind w:hanging="360" w:left="720" w:right="0"/>
              <w:rPr>
                <w:rFonts w:ascii="Times New Roman" w:hAnsi="Times New Roman"/>
              </w:rPr>
            </w:pPr>
            <w:r>
              <w:rPr>
                <w:rStyle w:val="Strong"/>
                <w:lang w:val="en-GB" w:eastAsia="en-GB" w:bidi="ar-SA"/>
              </w:rPr>
              <w:t>BN.5 – Water Environment</w:t>
            </w:r>
            <w:r>
              <w:rPr/>
              <w:t xml:space="preserve"> (indirect landscape impacts)</w:t>
            </w:r>
          </w:p>
          <w:p>
            <w:pPr>
              <w:pStyle w:val="NormalWeb"/>
              <w:numPr>
                <w:ilvl w:val="0"/>
                <w:numId w:val="3"/>
              </w:numPr>
              <w:tabs>
                <w:tab w:val="left" w:pos="720" w:leader="none"/>
              </w:tabs>
              <w:bidi w:val="0"/>
              <w:spacing w:before="0" w:after="0"/>
              <w:ind w:hanging="360" w:left="720" w:right="0"/>
              <w:rPr>
                <w:rFonts w:ascii="Times New Roman" w:hAnsi="Times New Roman"/>
              </w:rPr>
            </w:pPr>
            <w:r>
              <w:rPr>
                <w:rStyle w:val="Strong"/>
                <w:lang w:val="en-GB" w:eastAsia="en-GB" w:bidi="ar-SA"/>
              </w:rPr>
              <w:t>DS.17 – Settlement Identity &amp; Areas of Restraint</w:t>
            </w:r>
          </w:p>
          <w:p>
            <w:pPr>
              <w:pStyle w:val="NormalWeb"/>
              <w:numPr>
                <w:ilvl w:val="0"/>
                <w:numId w:val="3"/>
              </w:numPr>
              <w:tabs>
                <w:tab w:val="left" w:pos="720" w:leader="none"/>
              </w:tabs>
              <w:bidi w:val="0"/>
              <w:spacing w:before="0" w:after="100"/>
              <w:ind w:hanging="360" w:left="720" w:right="0"/>
              <w:rPr>
                <w:rFonts w:ascii="Times New Roman" w:hAnsi="Times New Roman"/>
              </w:rPr>
            </w:pPr>
            <w:r>
              <w:rPr>
                <w:rStyle w:val="Strong"/>
                <w:lang w:val="en-GB" w:eastAsia="en-GB" w:bidi="ar-SA"/>
              </w:rPr>
              <w:t>Proposal LMA – Section 8.2</w:t>
            </w:r>
            <w:r>
              <w:rPr/>
              <w:t xml:space="preserve"> (no AONB assessment)</w:t>
            </w:r>
          </w:p>
          <w:p>
            <w:pPr>
              <w:pStyle w:val="NormalWeb"/>
              <w:bidi w:val="0"/>
              <w:spacing w:before="100" w:after="100"/>
              <w:rPr>
                <w:rFonts w:ascii="Times New Roman" w:hAnsi="Times New Roman"/>
              </w:rPr>
            </w:pPr>
            <w:r>
              <w:rPr/>
              <w:t xml:space="preserve">The Reg 19 document does </w:t>
            </w:r>
            <w:r>
              <w:rPr>
                <w:rStyle w:val="Strong"/>
                <w:lang w:val="en-GB" w:eastAsia="en-GB" w:bidi="ar-SA"/>
              </w:rPr>
              <w:t>not</w:t>
            </w:r>
            <w:r>
              <w:rPr/>
              <w:t xml:space="preserve"> demonstrate compliance with these policies.</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Failure of Soundness – Not Justified (NPPF §31, §35)</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3.1 No assessment of AONB setting impacts</w:t>
            </w:r>
          </w:p>
          <w:p>
            <w:pPr>
              <w:pStyle w:val="NormalWeb"/>
              <w:bidi w:val="0"/>
              <w:spacing w:before="100" w:after="100"/>
              <w:rPr>
                <w:rFonts w:ascii="Times New Roman" w:hAnsi="Times New Roman"/>
              </w:rPr>
            </w:pPr>
            <w:r>
              <w:rPr/>
              <w:t xml:space="preserve">NPPF §176 requires </w:t>
            </w:r>
            <w:r>
              <w:rPr>
                <w:rStyle w:val="Strong"/>
                <w:lang w:val="en-GB" w:eastAsia="en-GB" w:bidi="ar-SA"/>
              </w:rPr>
              <w:t>great weight</w:t>
            </w:r>
            <w:r>
              <w:rPr/>
              <w:t xml:space="preserve"> to be given to conserving landscape and scenic beauty in AONBs, including their </w:t>
            </w:r>
            <w:r>
              <w:rPr>
                <w:rStyle w:val="Strong"/>
                <w:lang w:val="en-GB" w:eastAsia="en-GB" w:bidi="ar-SA"/>
              </w:rPr>
              <w:t>setting</w:t>
            </w:r>
            <w:r>
              <w:rPr/>
              <w:t>.</w:t>
            </w:r>
          </w:p>
          <w:p>
            <w:pPr>
              <w:pStyle w:val="NormalWeb"/>
              <w:bidi w:val="0"/>
              <w:spacing w:before="100" w:after="100"/>
              <w:rPr>
                <w:rFonts w:ascii="Times New Roman" w:hAnsi="Times New Roman"/>
              </w:rPr>
            </w:pPr>
            <w:r>
              <w:rPr/>
              <w:t xml:space="preserve">LMA lies within the </w:t>
            </w:r>
            <w:r>
              <w:rPr>
                <w:rStyle w:val="Strong"/>
                <w:lang w:val="en-GB" w:eastAsia="en-GB" w:bidi="ar-SA"/>
              </w:rPr>
              <w:t>3km AONB setting zone</w:t>
            </w:r>
            <w:r>
              <w:rPr/>
              <w:t>, yet the SWLP provides:</w:t>
            </w:r>
          </w:p>
          <w:p>
            <w:pPr>
              <w:pStyle w:val="NormalWeb"/>
              <w:numPr>
                <w:ilvl w:val="0"/>
                <w:numId w:val="4"/>
              </w:numPr>
              <w:tabs>
                <w:tab w:val="left" w:pos="720" w:leader="none"/>
              </w:tabs>
              <w:bidi w:val="0"/>
              <w:spacing w:before="100" w:after="0"/>
              <w:ind w:hanging="360" w:left="720" w:right="0"/>
              <w:rPr>
                <w:rFonts w:ascii="Times New Roman" w:hAnsi="Times New Roman"/>
              </w:rPr>
            </w:pPr>
            <w:r>
              <w:rPr/>
              <w:t>no AONB setting study</w:t>
            </w:r>
          </w:p>
          <w:p>
            <w:pPr>
              <w:pStyle w:val="NormalWeb"/>
              <w:numPr>
                <w:ilvl w:val="0"/>
                <w:numId w:val="4"/>
              </w:numPr>
              <w:tabs>
                <w:tab w:val="left" w:pos="720" w:leader="none"/>
              </w:tabs>
              <w:bidi w:val="0"/>
              <w:spacing w:before="0" w:after="0"/>
              <w:ind w:hanging="360" w:left="720" w:right="0"/>
              <w:rPr>
                <w:rFonts w:ascii="Times New Roman" w:hAnsi="Times New Roman"/>
              </w:rPr>
            </w:pPr>
            <w:r>
              <w:rPr/>
              <w:t>no visual impact assessment</w:t>
            </w:r>
          </w:p>
          <w:p>
            <w:pPr>
              <w:pStyle w:val="NormalWeb"/>
              <w:numPr>
                <w:ilvl w:val="0"/>
                <w:numId w:val="4"/>
              </w:numPr>
              <w:tabs>
                <w:tab w:val="left" w:pos="720" w:leader="none"/>
              </w:tabs>
              <w:bidi w:val="0"/>
              <w:spacing w:before="0" w:after="0"/>
              <w:ind w:hanging="360" w:left="720" w:right="0"/>
              <w:rPr>
                <w:rFonts w:ascii="Times New Roman" w:hAnsi="Times New Roman"/>
              </w:rPr>
            </w:pPr>
            <w:r>
              <w:rPr/>
              <w:t>no landscape sensitivity analysis</w:t>
            </w:r>
          </w:p>
          <w:p>
            <w:pPr>
              <w:pStyle w:val="NormalWeb"/>
              <w:numPr>
                <w:ilvl w:val="0"/>
                <w:numId w:val="4"/>
              </w:numPr>
              <w:tabs>
                <w:tab w:val="left" w:pos="720" w:leader="none"/>
              </w:tabs>
              <w:bidi w:val="0"/>
              <w:spacing w:before="0" w:after="0"/>
              <w:ind w:hanging="360" w:left="720" w:right="0"/>
              <w:rPr>
                <w:rFonts w:ascii="Times New Roman" w:hAnsi="Times New Roman"/>
              </w:rPr>
            </w:pPr>
            <w:r>
              <w:rPr/>
              <w:t>no identification of key viewpoints</w:t>
            </w:r>
          </w:p>
          <w:p>
            <w:pPr>
              <w:pStyle w:val="NormalWeb"/>
              <w:numPr>
                <w:ilvl w:val="0"/>
                <w:numId w:val="4"/>
              </w:numPr>
              <w:tabs>
                <w:tab w:val="left" w:pos="720" w:leader="none"/>
              </w:tabs>
              <w:bidi w:val="0"/>
              <w:spacing w:before="0" w:after="0"/>
              <w:ind w:hanging="360" w:left="720" w:right="0"/>
              <w:rPr>
                <w:rFonts w:ascii="Times New Roman" w:hAnsi="Times New Roman"/>
              </w:rPr>
            </w:pPr>
            <w:r>
              <w:rPr/>
              <w:t>no assessment of skyline intrusion</w:t>
            </w:r>
          </w:p>
          <w:p>
            <w:pPr>
              <w:pStyle w:val="NormalWeb"/>
              <w:numPr>
                <w:ilvl w:val="0"/>
                <w:numId w:val="4"/>
              </w:numPr>
              <w:tabs>
                <w:tab w:val="left" w:pos="720" w:leader="none"/>
              </w:tabs>
              <w:bidi w:val="0"/>
              <w:spacing w:before="0" w:after="100"/>
              <w:ind w:hanging="360" w:left="720" w:right="0"/>
              <w:rPr>
                <w:rFonts w:ascii="Times New Roman" w:hAnsi="Times New Roman"/>
              </w:rPr>
            </w:pPr>
            <w:r>
              <w:rPr/>
              <w:t>no evaluation of cumulative impacts with Meon Vale</w:t>
            </w:r>
          </w:p>
          <w:p>
            <w:pPr>
              <w:pStyle w:val="NormalWeb"/>
              <w:bidi w:val="0"/>
              <w:spacing w:before="100" w:after="100"/>
              <w:rPr>
                <w:rFonts w:ascii="Times New Roman" w:hAnsi="Times New Roman"/>
              </w:rPr>
            </w:pPr>
            <w:r>
              <w:rPr/>
              <w:t xml:space="preserve">This is a clear breach of </w:t>
            </w:r>
            <w:r>
              <w:rPr>
                <w:rStyle w:val="Strong"/>
                <w:lang w:val="en-GB" w:eastAsia="en-GB" w:bidi="ar-SA"/>
              </w:rPr>
              <w:t>NPPF §31</w:t>
            </w:r>
            <w:r>
              <w:rPr/>
              <w:t>, which requires proportionate evidence.</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3.2 No justification for large</w:t>
              <w:noBreakHyphen/>
              <w:t>scale development in a sensitive landscape</w:t>
            </w:r>
          </w:p>
          <w:p>
            <w:pPr>
              <w:pStyle w:val="NormalWeb"/>
              <w:bidi w:val="0"/>
              <w:spacing w:before="100" w:after="100"/>
              <w:rPr>
                <w:rFonts w:ascii="Times New Roman" w:hAnsi="Times New Roman"/>
              </w:rPr>
            </w:pPr>
            <w:r>
              <w:rPr/>
              <w:t>The Cotswolds National Landscape Management Plan identifies:</w:t>
            </w:r>
          </w:p>
          <w:p>
            <w:pPr>
              <w:pStyle w:val="NormalWeb"/>
              <w:numPr>
                <w:ilvl w:val="0"/>
                <w:numId w:val="5"/>
              </w:numPr>
              <w:tabs>
                <w:tab w:val="left" w:pos="720" w:leader="none"/>
              </w:tabs>
              <w:bidi w:val="0"/>
              <w:spacing w:before="100" w:after="0"/>
              <w:ind w:hanging="360" w:left="720" w:right="0"/>
              <w:rPr>
                <w:rFonts w:ascii="Times New Roman" w:hAnsi="Times New Roman"/>
              </w:rPr>
            </w:pPr>
            <w:r>
              <w:rPr/>
              <w:t>sensitivity of escarpment views</w:t>
            </w:r>
          </w:p>
          <w:p>
            <w:pPr>
              <w:pStyle w:val="NormalWeb"/>
              <w:numPr>
                <w:ilvl w:val="0"/>
                <w:numId w:val="5"/>
              </w:numPr>
              <w:tabs>
                <w:tab w:val="left" w:pos="720" w:leader="none"/>
              </w:tabs>
              <w:bidi w:val="0"/>
              <w:spacing w:before="0" w:after="0"/>
              <w:ind w:hanging="360" w:left="720" w:right="0"/>
              <w:rPr>
                <w:rFonts w:ascii="Times New Roman" w:hAnsi="Times New Roman"/>
              </w:rPr>
            </w:pPr>
            <w:r>
              <w:rPr/>
              <w:t>importance of rural foregrounds</w:t>
            </w:r>
          </w:p>
          <w:p>
            <w:pPr>
              <w:pStyle w:val="NormalWeb"/>
              <w:numPr>
                <w:ilvl w:val="0"/>
                <w:numId w:val="5"/>
              </w:numPr>
              <w:tabs>
                <w:tab w:val="left" w:pos="720" w:leader="none"/>
              </w:tabs>
              <w:bidi w:val="0"/>
              <w:spacing w:before="0" w:after="0"/>
              <w:ind w:hanging="360" w:left="720" w:right="0"/>
              <w:rPr>
                <w:rFonts w:ascii="Times New Roman" w:hAnsi="Times New Roman"/>
              </w:rPr>
            </w:pPr>
            <w:r>
              <w:rPr/>
              <w:t>vulnerability to large</w:t>
              <w:noBreakHyphen/>
              <w:t>scale built form</w:t>
            </w:r>
          </w:p>
          <w:p>
            <w:pPr>
              <w:pStyle w:val="NormalWeb"/>
              <w:numPr>
                <w:ilvl w:val="0"/>
                <w:numId w:val="5"/>
              </w:numPr>
              <w:tabs>
                <w:tab w:val="left" w:pos="720" w:leader="none"/>
              </w:tabs>
              <w:bidi w:val="0"/>
              <w:spacing w:before="0" w:after="100"/>
              <w:ind w:hanging="360" w:left="720" w:right="0"/>
              <w:rPr>
                <w:rFonts w:ascii="Times New Roman" w:hAnsi="Times New Roman"/>
              </w:rPr>
            </w:pPr>
            <w:r>
              <w:rPr/>
              <w:t>need to protect tranquillity and dark skies</w:t>
            </w:r>
          </w:p>
          <w:p>
            <w:pPr>
              <w:pStyle w:val="NormalWeb"/>
              <w:bidi w:val="0"/>
              <w:spacing w:before="100" w:after="100"/>
              <w:rPr>
                <w:rFonts w:ascii="Times New Roman" w:hAnsi="Times New Roman"/>
              </w:rPr>
            </w:pPr>
            <w:r>
              <w:rPr/>
              <w:t xml:space="preserve">The SWLP does not justify how a </w:t>
            </w:r>
            <w:r>
              <w:rPr>
                <w:rStyle w:val="Strong"/>
                <w:lang w:val="en-GB" w:eastAsia="en-GB" w:bidi="ar-SA"/>
              </w:rPr>
              <w:t>town</w:t>
              <w:noBreakHyphen/>
              <w:t>scale settlement</w:t>
            </w:r>
            <w:r>
              <w:rPr/>
              <w:t xml:space="preserve"> at LMA can be accommodated without harming these qualities.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3.3 No assessment of landscape character change</w:t>
            </w:r>
          </w:p>
          <w:p>
            <w:pPr>
              <w:pStyle w:val="NormalWeb"/>
              <w:bidi w:val="0"/>
              <w:spacing w:before="100" w:after="100"/>
              <w:rPr>
                <w:rFonts w:ascii="Times New Roman" w:hAnsi="Times New Roman"/>
              </w:rPr>
            </w:pPr>
            <w:r>
              <w:rPr/>
              <w:t>BN.2 requires protection of:</w:t>
            </w:r>
          </w:p>
          <w:p>
            <w:pPr>
              <w:pStyle w:val="NormalWeb"/>
              <w:numPr>
                <w:ilvl w:val="0"/>
                <w:numId w:val="6"/>
              </w:numPr>
              <w:tabs>
                <w:tab w:val="left" w:pos="720" w:leader="none"/>
              </w:tabs>
              <w:bidi w:val="0"/>
              <w:spacing w:before="100" w:after="0"/>
              <w:ind w:hanging="360" w:left="720" w:right="0"/>
              <w:rPr>
                <w:rFonts w:ascii="Times New Roman" w:hAnsi="Times New Roman"/>
              </w:rPr>
            </w:pPr>
            <w:r>
              <w:rPr/>
              <w:t>rural character</w:t>
            </w:r>
          </w:p>
          <w:p>
            <w:pPr>
              <w:pStyle w:val="NormalWeb"/>
              <w:numPr>
                <w:ilvl w:val="0"/>
                <w:numId w:val="6"/>
              </w:numPr>
              <w:tabs>
                <w:tab w:val="left" w:pos="720" w:leader="none"/>
              </w:tabs>
              <w:bidi w:val="0"/>
              <w:spacing w:before="0" w:after="0"/>
              <w:ind w:hanging="360" w:left="720" w:right="0"/>
              <w:rPr>
                <w:rFonts w:ascii="Times New Roman" w:hAnsi="Times New Roman"/>
              </w:rPr>
            </w:pPr>
            <w:r>
              <w:rPr/>
              <w:t>settlement edges</w:t>
            </w:r>
          </w:p>
          <w:p>
            <w:pPr>
              <w:pStyle w:val="NormalWeb"/>
              <w:numPr>
                <w:ilvl w:val="0"/>
                <w:numId w:val="6"/>
              </w:numPr>
              <w:tabs>
                <w:tab w:val="left" w:pos="720" w:leader="none"/>
              </w:tabs>
              <w:bidi w:val="0"/>
              <w:spacing w:before="0" w:after="0"/>
              <w:ind w:hanging="360" w:left="720" w:right="0"/>
              <w:rPr>
                <w:rFonts w:ascii="Times New Roman" w:hAnsi="Times New Roman"/>
              </w:rPr>
            </w:pPr>
            <w:r>
              <w:rPr/>
              <w:t>landscape pattern</w:t>
            </w:r>
          </w:p>
          <w:p>
            <w:pPr>
              <w:pStyle w:val="NormalWeb"/>
              <w:numPr>
                <w:ilvl w:val="0"/>
                <w:numId w:val="6"/>
              </w:numPr>
              <w:tabs>
                <w:tab w:val="left" w:pos="720" w:leader="none"/>
              </w:tabs>
              <w:bidi w:val="0"/>
              <w:spacing w:before="0" w:after="100"/>
              <w:ind w:hanging="360" w:left="720" w:right="0"/>
              <w:rPr>
                <w:rFonts w:ascii="Times New Roman" w:hAnsi="Times New Roman"/>
              </w:rPr>
            </w:pPr>
            <w:r>
              <w:rPr/>
              <w:t>visual amenity</w:t>
            </w:r>
          </w:p>
          <w:p>
            <w:pPr>
              <w:pStyle w:val="NormalWeb"/>
              <w:bidi w:val="0"/>
              <w:spacing w:before="100" w:after="100"/>
              <w:rPr>
                <w:rFonts w:ascii="Times New Roman" w:hAnsi="Times New Roman"/>
              </w:rPr>
            </w:pPr>
            <w:r>
              <w:rPr/>
              <w:t>The SWLP provides no evidence that LMA can meet these requirements.</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Failure of Soundness – Not Effective (NPPF §35)</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4.1 No mitigation strategy</w:t>
            </w:r>
          </w:p>
          <w:p>
            <w:pPr>
              <w:pStyle w:val="NormalWeb"/>
              <w:bidi w:val="0"/>
              <w:spacing w:before="100" w:after="100"/>
              <w:rPr>
                <w:rFonts w:ascii="Times New Roman" w:hAnsi="Times New Roman"/>
              </w:rPr>
            </w:pPr>
            <w:r>
              <w:rPr/>
              <w:t>The plan does not include:</w:t>
            </w:r>
          </w:p>
          <w:p>
            <w:pPr>
              <w:pStyle w:val="NormalWeb"/>
              <w:numPr>
                <w:ilvl w:val="0"/>
                <w:numId w:val="7"/>
              </w:numPr>
              <w:tabs>
                <w:tab w:val="left" w:pos="720" w:leader="none"/>
              </w:tabs>
              <w:bidi w:val="0"/>
              <w:spacing w:before="100" w:after="0"/>
              <w:ind w:hanging="360" w:left="720" w:right="0"/>
              <w:rPr>
                <w:rFonts w:ascii="Times New Roman" w:hAnsi="Times New Roman"/>
              </w:rPr>
            </w:pPr>
            <w:r>
              <w:rPr/>
              <w:t>landscape buffers</w:t>
            </w:r>
          </w:p>
          <w:p>
            <w:pPr>
              <w:pStyle w:val="NormalWeb"/>
              <w:numPr>
                <w:ilvl w:val="0"/>
                <w:numId w:val="7"/>
              </w:numPr>
              <w:tabs>
                <w:tab w:val="left" w:pos="720" w:leader="none"/>
              </w:tabs>
              <w:bidi w:val="0"/>
              <w:spacing w:before="0" w:after="0"/>
              <w:ind w:hanging="360" w:left="720" w:right="0"/>
              <w:rPr>
                <w:rFonts w:ascii="Times New Roman" w:hAnsi="Times New Roman"/>
              </w:rPr>
            </w:pPr>
            <w:r>
              <w:rPr/>
              <w:t>view corridors</w:t>
            </w:r>
          </w:p>
          <w:p>
            <w:pPr>
              <w:pStyle w:val="NormalWeb"/>
              <w:numPr>
                <w:ilvl w:val="0"/>
                <w:numId w:val="7"/>
              </w:numPr>
              <w:tabs>
                <w:tab w:val="left" w:pos="720" w:leader="none"/>
              </w:tabs>
              <w:bidi w:val="0"/>
              <w:spacing w:before="0" w:after="0"/>
              <w:ind w:hanging="360" w:left="720" w:right="0"/>
              <w:rPr>
                <w:rFonts w:ascii="Times New Roman" w:hAnsi="Times New Roman"/>
              </w:rPr>
            </w:pPr>
            <w:r>
              <w:rPr/>
              <w:t>dark skies protection</w:t>
            </w:r>
          </w:p>
          <w:p>
            <w:pPr>
              <w:pStyle w:val="NormalWeb"/>
              <w:numPr>
                <w:ilvl w:val="0"/>
                <w:numId w:val="7"/>
              </w:numPr>
              <w:tabs>
                <w:tab w:val="left" w:pos="720" w:leader="none"/>
              </w:tabs>
              <w:bidi w:val="0"/>
              <w:spacing w:before="0" w:after="0"/>
              <w:ind w:hanging="360" w:left="720" w:right="0"/>
              <w:rPr>
                <w:rFonts w:ascii="Times New Roman" w:hAnsi="Times New Roman"/>
              </w:rPr>
            </w:pPr>
            <w:r>
              <w:rPr/>
              <w:t>tranquillity safeguards</w:t>
            </w:r>
          </w:p>
          <w:p>
            <w:pPr>
              <w:pStyle w:val="NormalWeb"/>
              <w:numPr>
                <w:ilvl w:val="0"/>
                <w:numId w:val="7"/>
              </w:numPr>
              <w:tabs>
                <w:tab w:val="left" w:pos="720" w:leader="none"/>
              </w:tabs>
              <w:bidi w:val="0"/>
              <w:spacing w:before="0" w:after="0"/>
              <w:ind w:hanging="360" w:left="720" w:right="0"/>
              <w:rPr>
                <w:rFonts w:ascii="Times New Roman" w:hAnsi="Times New Roman"/>
              </w:rPr>
            </w:pPr>
            <w:r>
              <w:rPr/>
              <w:t>screening or planting strategies</w:t>
            </w:r>
          </w:p>
          <w:p>
            <w:pPr>
              <w:pStyle w:val="NormalWeb"/>
              <w:numPr>
                <w:ilvl w:val="0"/>
                <w:numId w:val="7"/>
              </w:numPr>
              <w:tabs>
                <w:tab w:val="left" w:pos="720" w:leader="none"/>
              </w:tabs>
              <w:bidi w:val="0"/>
              <w:spacing w:before="0" w:after="0"/>
              <w:ind w:hanging="360" w:left="720" w:right="0"/>
              <w:rPr>
                <w:rFonts w:ascii="Times New Roman" w:hAnsi="Times New Roman"/>
              </w:rPr>
            </w:pPr>
            <w:r>
              <w:rPr/>
              <w:t>height or massing controls</w:t>
            </w:r>
          </w:p>
          <w:p>
            <w:pPr>
              <w:pStyle w:val="NormalWeb"/>
              <w:numPr>
                <w:ilvl w:val="0"/>
                <w:numId w:val="7"/>
              </w:numPr>
              <w:tabs>
                <w:tab w:val="left" w:pos="720" w:leader="none"/>
              </w:tabs>
              <w:bidi w:val="0"/>
              <w:spacing w:before="0" w:after="100"/>
              <w:ind w:hanging="360" w:left="720" w:right="0"/>
              <w:rPr>
                <w:rFonts w:ascii="Times New Roman" w:hAnsi="Times New Roman"/>
              </w:rPr>
            </w:pPr>
            <w:r>
              <w:rPr/>
              <w:t>settlement edge design principles</w:t>
            </w:r>
          </w:p>
          <w:p>
            <w:pPr>
              <w:pStyle w:val="NormalWeb"/>
              <w:bidi w:val="0"/>
              <w:spacing w:before="100" w:after="100"/>
              <w:rPr>
                <w:rFonts w:ascii="Times New Roman" w:hAnsi="Times New Roman"/>
              </w:rPr>
            </w:pPr>
            <w:r>
              <w:rPr/>
              <w:t xml:space="preserve">Without these, the allocation is </w:t>
            </w:r>
            <w:r>
              <w:rPr>
                <w:rStyle w:val="Strong"/>
                <w:lang w:val="en-GB" w:eastAsia="en-GB" w:bidi="ar-SA"/>
              </w:rPr>
              <w:t>not effective</w:t>
            </w:r>
            <w:r>
              <w:rPr/>
              <w:t>.</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4.2 No cumulative impact assessment</w:t>
            </w:r>
          </w:p>
          <w:p>
            <w:pPr>
              <w:pStyle w:val="NormalWeb"/>
              <w:bidi w:val="0"/>
              <w:spacing w:before="100" w:after="100"/>
              <w:rPr>
                <w:rFonts w:ascii="Times New Roman" w:hAnsi="Times New Roman"/>
              </w:rPr>
            </w:pPr>
            <w:r>
              <w:rPr/>
              <w:t>The combined effects of:</w:t>
            </w:r>
          </w:p>
          <w:p>
            <w:pPr>
              <w:pStyle w:val="NormalWeb"/>
              <w:numPr>
                <w:ilvl w:val="0"/>
                <w:numId w:val="8"/>
              </w:numPr>
              <w:tabs>
                <w:tab w:val="left" w:pos="720" w:leader="none"/>
              </w:tabs>
              <w:bidi w:val="0"/>
              <w:spacing w:before="100" w:after="0"/>
              <w:ind w:hanging="360" w:left="720" w:right="0"/>
              <w:rPr>
                <w:rFonts w:ascii="Times New Roman" w:hAnsi="Times New Roman"/>
              </w:rPr>
            </w:pPr>
            <w:r>
              <w:rPr/>
              <w:t>LMA</w:t>
            </w:r>
          </w:p>
          <w:p>
            <w:pPr>
              <w:pStyle w:val="NormalWeb"/>
              <w:numPr>
                <w:ilvl w:val="0"/>
                <w:numId w:val="8"/>
              </w:numPr>
              <w:tabs>
                <w:tab w:val="left" w:pos="720" w:leader="none"/>
              </w:tabs>
              <w:bidi w:val="0"/>
              <w:spacing w:before="0" w:after="0"/>
              <w:ind w:hanging="360" w:left="720" w:right="0"/>
              <w:rPr>
                <w:rFonts w:ascii="Times New Roman" w:hAnsi="Times New Roman"/>
              </w:rPr>
            </w:pPr>
            <w:r>
              <w:rPr/>
              <w:t>Meon Vale</w:t>
            </w:r>
          </w:p>
          <w:p>
            <w:pPr>
              <w:pStyle w:val="NormalWeb"/>
              <w:numPr>
                <w:ilvl w:val="0"/>
                <w:numId w:val="8"/>
              </w:numPr>
              <w:tabs>
                <w:tab w:val="left" w:pos="720" w:leader="none"/>
              </w:tabs>
              <w:bidi w:val="0"/>
              <w:spacing w:before="0" w:after="0"/>
              <w:ind w:hanging="360" w:left="720" w:right="0"/>
              <w:rPr>
                <w:rFonts w:ascii="Times New Roman" w:hAnsi="Times New Roman"/>
              </w:rPr>
            </w:pPr>
            <w:r>
              <w:rPr/>
              <w:t>Long Marston village</w:t>
            </w:r>
          </w:p>
          <w:p>
            <w:pPr>
              <w:pStyle w:val="NormalWeb"/>
              <w:numPr>
                <w:ilvl w:val="0"/>
                <w:numId w:val="8"/>
              </w:numPr>
              <w:tabs>
                <w:tab w:val="left" w:pos="720" w:leader="none"/>
              </w:tabs>
              <w:bidi w:val="0"/>
              <w:spacing w:before="0" w:after="0"/>
              <w:ind w:hanging="360" w:left="720" w:right="0"/>
              <w:rPr>
                <w:rFonts w:ascii="Times New Roman" w:hAnsi="Times New Roman"/>
              </w:rPr>
            </w:pPr>
            <w:r>
              <w:rPr/>
              <w:t>associated infrastructure</w:t>
            </w:r>
          </w:p>
          <w:p>
            <w:pPr>
              <w:pStyle w:val="NormalWeb"/>
              <w:numPr>
                <w:ilvl w:val="0"/>
                <w:numId w:val="8"/>
              </w:numPr>
              <w:tabs>
                <w:tab w:val="left" w:pos="720" w:leader="none"/>
              </w:tabs>
              <w:bidi w:val="0"/>
              <w:spacing w:before="0" w:after="0"/>
              <w:ind w:hanging="360" w:left="720" w:right="0"/>
              <w:rPr>
                <w:rFonts w:ascii="Times New Roman" w:hAnsi="Times New Roman"/>
              </w:rPr>
            </w:pPr>
            <w:r>
              <w:rPr/>
              <w:t>lighting</w:t>
            </w:r>
          </w:p>
          <w:p>
            <w:pPr>
              <w:pStyle w:val="NormalWeb"/>
              <w:numPr>
                <w:ilvl w:val="0"/>
                <w:numId w:val="8"/>
              </w:numPr>
              <w:tabs>
                <w:tab w:val="left" w:pos="720" w:leader="none"/>
              </w:tabs>
              <w:bidi w:val="0"/>
              <w:spacing w:before="0" w:after="0"/>
              <w:ind w:hanging="360" w:left="720" w:right="0"/>
              <w:rPr>
                <w:rFonts w:ascii="Times New Roman" w:hAnsi="Times New Roman"/>
              </w:rPr>
            </w:pPr>
            <w:r>
              <w:rPr/>
              <w:t>traffic</w:t>
            </w:r>
          </w:p>
          <w:p>
            <w:pPr>
              <w:pStyle w:val="NormalWeb"/>
              <w:numPr>
                <w:ilvl w:val="0"/>
                <w:numId w:val="8"/>
              </w:numPr>
              <w:tabs>
                <w:tab w:val="left" w:pos="720" w:leader="none"/>
              </w:tabs>
              <w:bidi w:val="0"/>
              <w:spacing w:before="0" w:after="100"/>
              <w:ind w:hanging="360" w:left="720" w:right="0"/>
              <w:rPr>
                <w:rFonts w:ascii="Times New Roman" w:hAnsi="Times New Roman"/>
              </w:rPr>
            </w:pPr>
            <w:r>
              <w:rPr/>
              <w:t>noise</w:t>
            </w:r>
          </w:p>
          <w:p>
            <w:pPr>
              <w:pStyle w:val="NormalWeb"/>
              <w:bidi w:val="0"/>
              <w:spacing w:before="100" w:after="100"/>
              <w:rPr>
                <w:rFonts w:ascii="Times New Roman" w:hAnsi="Times New Roman"/>
              </w:rPr>
            </w:pPr>
            <w:r>
              <w:rPr/>
              <w:t>are not assessed.</w:t>
            </w:r>
          </w:p>
          <w:p>
            <w:pPr>
              <w:pStyle w:val="NormalWeb"/>
              <w:bidi w:val="0"/>
              <w:spacing w:before="100" w:after="100"/>
              <w:rPr>
                <w:rFonts w:ascii="Times New Roman" w:hAnsi="Times New Roman"/>
              </w:rPr>
            </w:pPr>
            <w:r>
              <w:rPr/>
              <w:t>This is essential for AONB setting protection.</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4.3 No evidence that harm can be avoided</w:t>
            </w:r>
          </w:p>
          <w:p>
            <w:pPr>
              <w:pStyle w:val="NormalWeb"/>
              <w:bidi w:val="0"/>
              <w:spacing w:before="100" w:after="100"/>
              <w:rPr>
                <w:rFonts w:ascii="Times New Roman" w:hAnsi="Times New Roman"/>
              </w:rPr>
            </w:pPr>
            <w:r>
              <w:rPr/>
              <w:t>NPPF §177 requires refusal of development that causes significant harm to AONBs or their setting.</w:t>
            </w:r>
          </w:p>
          <w:p>
            <w:pPr>
              <w:pStyle w:val="NormalWeb"/>
              <w:bidi w:val="0"/>
              <w:spacing w:before="100" w:after="100"/>
              <w:rPr>
                <w:rFonts w:ascii="Times New Roman" w:hAnsi="Times New Roman"/>
              </w:rPr>
            </w:pPr>
            <w:r>
              <w:rPr/>
              <w:t xml:space="preserve">The SWLP provides </w:t>
            </w:r>
            <w:r>
              <w:rPr>
                <w:rStyle w:val="Strong"/>
                <w:lang w:val="en-GB" w:eastAsia="en-GB" w:bidi="ar-SA"/>
              </w:rPr>
              <w:t>no evidence</w:t>
            </w:r>
            <w:r>
              <w:rPr/>
              <w:t xml:space="preserve"> that harm can be avoided.</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Failure of Soundness – Not Consistent with National Policy (NPPF §176–177)</w:t>
            </w:r>
          </w:p>
          <w:p>
            <w:pPr>
              <w:pStyle w:val="NormalWeb"/>
              <w:bidi w:val="0"/>
              <w:spacing w:before="100" w:after="100"/>
              <w:rPr>
                <w:rFonts w:ascii="Times New Roman" w:hAnsi="Times New Roman"/>
              </w:rPr>
            </w:pPr>
            <w:r>
              <w:rPr/>
              <w:t>NPPF requires:</w:t>
            </w:r>
          </w:p>
          <w:p>
            <w:pPr>
              <w:pStyle w:val="NormalWeb"/>
              <w:numPr>
                <w:ilvl w:val="0"/>
                <w:numId w:val="9"/>
              </w:numPr>
              <w:tabs>
                <w:tab w:val="left" w:pos="720" w:leader="none"/>
              </w:tabs>
              <w:bidi w:val="0"/>
              <w:spacing w:before="100" w:after="0"/>
              <w:ind w:hanging="360" w:left="720" w:right="0"/>
              <w:rPr>
                <w:rFonts w:ascii="Times New Roman" w:hAnsi="Times New Roman"/>
              </w:rPr>
            </w:pPr>
            <w:r>
              <w:rPr/>
              <w:t>great weight to conserving landscape and scenic beauty</w:t>
            </w:r>
          </w:p>
          <w:p>
            <w:pPr>
              <w:pStyle w:val="NormalWeb"/>
              <w:numPr>
                <w:ilvl w:val="0"/>
                <w:numId w:val="9"/>
              </w:numPr>
              <w:tabs>
                <w:tab w:val="left" w:pos="720" w:leader="none"/>
              </w:tabs>
              <w:bidi w:val="0"/>
              <w:spacing w:before="0" w:after="0"/>
              <w:ind w:hanging="360" w:left="720" w:right="0"/>
              <w:rPr>
                <w:rFonts w:ascii="Times New Roman" w:hAnsi="Times New Roman"/>
              </w:rPr>
            </w:pPr>
            <w:r>
              <w:rPr/>
              <w:t>protection of AONB setting</w:t>
            </w:r>
          </w:p>
          <w:p>
            <w:pPr>
              <w:pStyle w:val="NormalWeb"/>
              <w:numPr>
                <w:ilvl w:val="0"/>
                <w:numId w:val="9"/>
              </w:numPr>
              <w:tabs>
                <w:tab w:val="left" w:pos="720" w:leader="none"/>
              </w:tabs>
              <w:bidi w:val="0"/>
              <w:spacing w:before="0" w:after="0"/>
              <w:ind w:hanging="360" w:left="720" w:right="0"/>
              <w:rPr>
                <w:rFonts w:ascii="Times New Roman" w:hAnsi="Times New Roman"/>
              </w:rPr>
            </w:pPr>
            <w:r>
              <w:rPr/>
              <w:t>avoidance of harm to views, tranquillity, and dark skies</w:t>
            </w:r>
          </w:p>
          <w:p>
            <w:pPr>
              <w:pStyle w:val="NormalWeb"/>
              <w:numPr>
                <w:ilvl w:val="0"/>
                <w:numId w:val="9"/>
              </w:numPr>
              <w:tabs>
                <w:tab w:val="left" w:pos="720" w:leader="none"/>
              </w:tabs>
              <w:bidi w:val="0"/>
              <w:spacing w:before="0" w:after="100"/>
              <w:ind w:hanging="360" w:left="720" w:right="0"/>
              <w:rPr>
                <w:rFonts w:ascii="Times New Roman" w:hAnsi="Times New Roman"/>
              </w:rPr>
            </w:pPr>
            <w:r>
              <w:rPr/>
              <w:t>landscape</w:t>
              <w:noBreakHyphen/>
              <w:t>led planning</w:t>
            </w:r>
          </w:p>
          <w:p>
            <w:pPr>
              <w:pStyle w:val="NormalWeb"/>
              <w:bidi w:val="0"/>
              <w:spacing w:before="100" w:after="100"/>
              <w:rPr>
                <w:rFonts w:ascii="Times New Roman" w:hAnsi="Times New Roman"/>
              </w:rPr>
            </w:pPr>
            <w:r>
              <w:rPr/>
              <w:t>The SWLP does not demonstrate:</w:t>
            </w:r>
          </w:p>
          <w:p>
            <w:pPr>
              <w:pStyle w:val="NormalWeb"/>
              <w:numPr>
                <w:ilvl w:val="0"/>
                <w:numId w:val="10"/>
              </w:numPr>
              <w:tabs>
                <w:tab w:val="left" w:pos="720" w:leader="none"/>
              </w:tabs>
              <w:bidi w:val="0"/>
              <w:spacing w:before="100" w:after="0"/>
              <w:ind w:hanging="360" w:left="720" w:right="0"/>
              <w:rPr>
                <w:rFonts w:ascii="Times New Roman" w:hAnsi="Times New Roman"/>
              </w:rPr>
            </w:pPr>
            <w:r>
              <w:rPr/>
              <w:t>how LMA protects the AONB setting</w:t>
            </w:r>
          </w:p>
          <w:p>
            <w:pPr>
              <w:pStyle w:val="NormalWeb"/>
              <w:numPr>
                <w:ilvl w:val="0"/>
                <w:numId w:val="10"/>
              </w:numPr>
              <w:tabs>
                <w:tab w:val="left" w:pos="720" w:leader="none"/>
              </w:tabs>
              <w:bidi w:val="0"/>
              <w:spacing w:before="0" w:after="0"/>
              <w:ind w:hanging="360" w:left="720" w:right="0"/>
              <w:rPr>
                <w:rFonts w:ascii="Times New Roman" w:hAnsi="Times New Roman"/>
              </w:rPr>
            </w:pPr>
            <w:r>
              <w:rPr/>
              <w:t>how views from the escarpment are safeguarded</w:t>
            </w:r>
          </w:p>
          <w:p>
            <w:pPr>
              <w:pStyle w:val="NormalWeb"/>
              <w:numPr>
                <w:ilvl w:val="0"/>
                <w:numId w:val="10"/>
              </w:numPr>
              <w:tabs>
                <w:tab w:val="left" w:pos="720" w:leader="none"/>
              </w:tabs>
              <w:bidi w:val="0"/>
              <w:spacing w:before="0" w:after="0"/>
              <w:ind w:hanging="360" w:left="720" w:right="0"/>
              <w:rPr>
                <w:rFonts w:ascii="Times New Roman" w:hAnsi="Times New Roman"/>
              </w:rPr>
            </w:pPr>
            <w:r>
              <w:rPr/>
              <w:t>how rural foregrounds are maintained</w:t>
            </w:r>
          </w:p>
          <w:p>
            <w:pPr>
              <w:pStyle w:val="NormalWeb"/>
              <w:numPr>
                <w:ilvl w:val="0"/>
                <w:numId w:val="10"/>
              </w:numPr>
              <w:tabs>
                <w:tab w:val="left" w:pos="720" w:leader="none"/>
              </w:tabs>
              <w:bidi w:val="0"/>
              <w:spacing w:before="0" w:after="0"/>
              <w:ind w:hanging="360" w:left="720" w:right="0"/>
              <w:rPr>
                <w:rFonts w:ascii="Times New Roman" w:hAnsi="Times New Roman"/>
              </w:rPr>
            </w:pPr>
            <w:r>
              <w:rPr/>
              <w:t>how tranquillity is preserved</w:t>
            </w:r>
          </w:p>
          <w:p>
            <w:pPr>
              <w:pStyle w:val="NormalWeb"/>
              <w:numPr>
                <w:ilvl w:val="0"/>
                <w:numId w:val="10"/>
              </w:numPr>
              <w:tabs>
                <w:tab w:val="left" w:pos="720" w:leader="none"/>
              </w:tabs>
              <w:bidi w:val="0"/>
              <w:spacing w:before="0" w:after="0"/>
              <w:ind w:hanging="360" w:left="720" w:right="0"/>
              <w:rPr>
                <w:rFonts w:ascii="Times New Roman" w:hAnsi="Times New Roman"/>
              </w:rPr>
            </w:pPr>
            <w:r>
              <w:rPr/>
              <w:t>how lighting impacts are mitigated</w:t>
            </w:r>
          </w:p>
          <w:p>
            <w:pPr>
              <w:pStyle w:val="NormalWeb"/>
              <w:numPr>
                <w:ilvl w:val="0"/>
                <w:numId w:val="10"/>
              </w:numPr>
              <w:tabs>
                <w:tab w:val="left" w:pos="720" w:leader="none"/>
              </w:tabs>
              <w:bidi w:val="0"/>
              <w:spacing w:before="0" w:after="100"/>
              <w:ind w:hanging="360" w:left="720" w:right="0"/>
              <w:rPr>
                <w:rFonts w:ascii="Times New Roman" w:hAnsi="Times New Roman"/>
              </w:rPr>
            </w:pPr>
            <w:r>
              <w:rPr/>
              <w:t>how cumulative harm is avoided</w:t>
            </w:r>
          </w:p>
          <w:p>
            <w:pPr>
              <w:pStyle w:val="NormalWeb"/>
              <w:bidi w:val="0"/>
              <w:spacing w:before="100" w:after="100"/>
              <w:rPr>
                <w:rFonts w:ascii="Times New Roman" w:hAnsi="Times New Roman"/>
              </w:rPr>
            </w:pPr>
            <w:r>
              <w:rPr/>
              <w:t>This is a direct conflict with national policy.</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Requested Modifications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Publish a full AONB setting and landscape sensitivity assessment</w:t>
            </w:r>
          </w:p>
          <w:p>
            <w:pPr>
              <w:pStyle w:val="NormalWeb"/>
              <w:bidi w:val="0"/>
              <w:spacing w:before="100" w:after="100"/>
              <w:rPr>
                <w:rFonts w:ascii="Times New Roman" w:hAnsi="Times New Roman"/>
              </w:rPr>
            </w:pPr>
            <w:r>
              <w:rPr/>
              <w:t>Including:</w:t>
            </w:r>
          </w:p>
          <w:p>
            <w:pPr>
              <w:pStyle w:val="NormalWeb"/>
              <w:numPr>
                <w:ilvl w:val="0"/>
                <w:numId w:val="12"/>
              </w:numPr>
              <w:tabs>
                <w:tab w:val="left" w:pos="720" w:leader="none"/>
              </w:tabs>
              <w:bidi w:val="0"/>
              <w:spacing w:before="100" w:after="0"/>
              <w:rPr/>
            </w:pPr>
            <w:r>
              <w:rPr/>
              <w:t>key viewpoints</w:t>
            </w:r>
          </w:p>
          <w:p>
            <w:pPr>
              <w:pStyle w:val="NormalWeb"/>
              <w:numPr>
                <w:ilvl w:val="0"/>
                <w:numId w:val="12"/>
              </w:numPr>
              <w:tabs>
                <w:tab w:val="left" w:pos="720" w:leader="none"/>
              </w:tabs>
              <w:bidi w:val="0"/>
              <w:spacing w:before="0" w:after="0"/>
              <w:rPr/>
            </w:pPr>
            <w:r>
              <w:rPr/>
              <w:t>visual impact modelling</w:t>
            </w:r>
          </w:p>
          <w:p>
            <w:pPr>
              <w:pStyle w:val="NormalWeb"/>
              <w:numPr>
                <w:ilvl w:val="0"/>
                <w:numId w:val="12"/>
              </w:numPr>
              <w:tabs>
                <w:tab w:val="left" w:pos="720" w:leader="none"/>
              </w:tabs>
              <w:bidi w:val="0"/>
              <w:spacing w:before="0" w:after="0"/>
              <w:rPr/>
            </w:pPr>
            <w:r>
              <w:rPr/>
              <w:t>skyline analysis</w:t>
            </w:r>
          </w:p>
          <w:p>
            <w:pPr>
              <w:pStyle w:val="NormalWeb"/>
              <w:numPr>
                <w:ilvl w:val="0"/>
                <w:numId w:val="12"/>
              </w:numPr>
              <w:tabs>
                <w:tab w:val="left" w:pos="720" w:leader="none"/>
              </w:tabs>
              <w:bidi w:val="0"/>
              <w:spacing w:before="0" w:after="0"/>
              <w:rPr/>
            </w:pPr>
            <w:r>
              <w:rPr/>
              <w:t>tranquillity mapping</w:t>
            </w:r>
          </w:p>
          <w:p>
            <w:pPr>
              <w:pStyle w:val="NormalWeb"/>
              <w:numPr>
                <w:ilvl w:val="0"/>
                <w:numId w:val="12"/>
              </w:numPr>
              <w:tabs>
                <w:tab w:val="left" w:pos="720" w:leader="none"/>
              </w:tabs>
              <w:bidi w:val="0"/>
              <w:spacing w:before="0" w:after="0"/>
              <w:rPr/>
            </w:pPr>
            <w:r>
              <w:rPr/>
              <w:t>dark skies assessment</w:t>
            </w:r>
          </w:p>
          <w:p>
            <w:pPr>
              <w:pStyle w:val="NormalWeb"/>
              <w:numPr>
                <w:ilvl w:val="0"/>
                <w:numId w:val="12"/>
              </w:numPr>
              <w:tabs>
                <w:tab w:val="left" w:pos="720" w:leader="none"/>
              </w:tabs>
              <w:bidi w:val="0"/>
              <w:spacing w:before="0" w:after="0"/>
              <w:rPr/>
            </w:pPr>
            <w:r>
              <w:rPr/>
              <w:t>cumulative impact assessment</w:t>
            </w:r>
          </w:p>
          <w:p>
            <w:pPr>
              <w:pStyle w:val="NormalWeb"/>
              <w:numPr>
                <w:ilvl w:val="0"/>
                <w:numId w:val="12"/>
              </w:numPr>
              <w:tabs>
                <w:tab w:val="left" w:pos="720" w:leader="none"/>
              </w:tabs>
              <w:bidi w:val="0"/>
              <w:spacing w:before="0" w:after="0"/>
              <w:rPr>
                <w:rFonts w:ascii="Times New Roman" w:hAnsi="Times New Roman"/>
              </w:rPr>
            </w:pPr>
            <w:r>
              <w:rPr/>
              <w:t>landscape character evaluation</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Provide a landscape</w:t>
              <w:noBreakHyphen/>
              <w:t>led masterplan</w:t>
            </w:r>
          </w:p>
          <w:p>
            <w:pPr>
              <w:pStyle w:val="NormalWeb"/>
              <w:bidi w:val="0"/>
              <w:spacing w:before="100" w:after="100"/>
              <w:rPr>
                <w:rFonts w:ascii="Times New Roman" w:hAnsi="Times New Roman"/>
              </w:rPr>
            </w:pPr>
            <w:r>
              <w:rPr/>
              <w:t>Including:</w:t>
            </w:r>
          </w:p>
          <w:p>
            <w:pPr>
              <w:pStyle w:val="NormalWeb"/>
              <w:numPr>
                <w:ilvl w:val="0"/>
                <w:numId w:val="13"/>
              </w:numPr>
              <w:tabs>
                <w:tab w:val="left" w:pos="720" w:leader="none"/>
              </w:tabs>
              <w:bidi w:val="0"/>
              <w:spacing w:before="100" w:after="0"/>
              <w:rPr/>
            </w:pPr>
            <w:r>
              <w:rPr/>
              <w:t>settlement edge design</w:t>
            </w:r>
          </w:p>
          <w:p>
            <w:pPr>
              <w:pStyle w:val="NormalWeb"/>
              <w:numPr>
                <w:ilvl w:val="0"/>
                <w:numId w:val="13"/>
              </w:numPr>
              <w:tabs>
                <w:tab w:val="left" w:pos="720" w:leader="none"/>
              </w:tabs>
              <w:bidi w:val="0"/>
              <w:spacing w:before="0" w:after="0"/>
              <w:rPr/>
            </w:pPr>
            <w:r>
              <w:rPr/>
              <w:t>height and massing controls</w:t>
            </w:r>
          </w:p>
          <w:p>
            <w:pPr>
              <w:pStyle w:val="NormalWeb"/>
              <w:numPr>
                <w:ilvl w:val="0"/>
                <w:numId w:val="13"/>
              </w:numPr>
              <w:tabs>
                <w:tab w:val="left" w:pos="720" w:leader="none"/>
              </w:tabs>
              <w:bidi w:val="0"/>
              <w:spacing w:before="0" w:after="0"/>
              <w:rPr/>
            </w:pPr>
            <w:r>
              <w:rPr/>
              <w:t>landscape buffers</w:t>
            </w:r>
          </w:p>
          <w:p>
            <w:pPr>
              <w:pStyle w:val="NormalWeb"/>
              <w:numPr>
                <w:ilvl w:val="0"/>
                <w:numId w:val="13"/>
              </w:numPr>
              <w:tabs>
                <w:tab w:val="left" w:pos="720" w:leader="none"/>
              </w:tabs>
              <w:bidi w:val="0"/>
              <w:spacing w:before="0" w:after="0"/>
              <w:rPr/>
            </w:pPr>
            <w:r>
              <w:rPr/>
              <w:t>view corridors</w:t>
            </w:r>
          </w:p>
          <w:p>
            <w:pPr>
              <w:pStyle w:val="NormalWeb"/>
              <w:numPr>
                <w:ilvl w:val="0"/>
                <w:numId w:val="13"/>
              </w:numPr>
              <w:tabs>
                <w:tab w:val="left" w:pos="720" w:leader="none"/>
              </w:tabs>
              <w:bidi w:val="0"/>
              <w:spacing w:before="0" w:after="0"/>
              <w:rPr/>
            </w:pPr>
            <w:r>
              <w:rPr/>
              <w:t>green infrastructure networks</w:t>
            </w:r>
          </w:p>
          <w:p>
            <w:pPr>
              <w:pStyle w:val="NormalWeb"/>
              <w:numPr>
                <w:ilvl w:val="0"/>
                <w:numId w:val="13"/>
              </w:numPr>
              <w:tabs>
                <w:tab w:val="left" w:pos="720" w:leader="none"/>
              </w:tabs>
              <w:bidi w:val="0"/>
              <w:spacing w:before="0" w:after="0"/>
              <w:rPr>
                <w:rFonts w:ascii="Times New Roman" w:hAnsi="Times New Roman"/>
              </w:rPr>
            </w:pPr>
            <w:r>
              <w:rPr/>
              <w:t>dark skies protection measures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Provide binding phasing and mitigation requirements</w:t>
            </w:r>
          </w:p>
          <w:p>
            <w:pPr>
              <w:pStyle w:val="NormalWeb"/>
              <w:bidi w:val="0"/>
              <w:spacing w:before="100" w:after="100"/>
              <w:rPr>
                <w:rFonts w:ascii="Times New Roman" w:hAnsi="Times New Roman"/>
              </w:rPr>
            </w:pPr>
            <w:r>
              <w:rPr/>
              <w:t>Occupation must be prohibited until:</w:t>
            </w:r>
          </w:p>
          <w:p>
            <w:pPr>
              <w:pStyle w:val="NormalWeb"/>
              <w:numPr>
                <w:ilvl w:val="0"/>
                <w:numId w:val="4"/>
              </w:numPr>
              <w:tabs>
                <w:tab w:val="left" w:pos="720" w:leader="none"/>
              </w:tabs>
              <w:bidi w:val="0"/>
              <w:spacing w:before="100" w:after="0"/>
              <w:ind w:hanging="360" w:left="720" w:right="0"/>
              <w:rPr>
                <w:rFonts w:ascii="Times New Roman" w:hAnsi="Times New Roman"/>
              </w:rPr>
            </w:pPr>
            <w:r>
              <w:rPr/>
              <w:t>landscape mitigation is implemented</w:t>
            </w:r>
          </w:p>
          <w:p>
            <w:pPr>
              <w:pStyle w:val="NormalWeb"/>
              <w:numPr>
                <w:ilvl w:val="0"/>
                <w:numId w:val="4"/>
              </w:numPr>
              <w:tabs>
                <w:tab w:val="left" w:pos="720" w:leader="none"/>
              </w:tabs>
              <w:bidi w:val="0"/>
              <w:spacing w:before="0" w:after="0"/>
              <w:ind w:hanging="360" w:left="720" w:right="0"/>
              <w:rPr>
                <w:rFonts w:ascii="Times New Roman" w:hAnsi="Times New Roman"/>
              </w:rPr>
            </w:pPr>
            <w:r>
              <w:rPr/>
              <w:t>view corridors are secured</w:t>
            </w:r>
          </w:p>
          <w:p>
            <w:pPr>
              <w:pStyle w:val="NormalWeb"/>
              <w:numPr>
                <w:ilvl w:val="0"/>
                <w:numId w:val="4"/>
              </w:numPr>
              <w:tabs>
                <w:tab w:val="left" w:pos="720" w:leader="none"/>
              </w:tabs>
              <w:bidi w:val="0"/>
              <w:spacing w:before="0" w:after="0"/>
              <w:ind w:hanging="360" w:left="720" w:right="0"/>
              <w:rPr>
                <w:rFonts w:ascii="Times New Roman" w:hAnsi="Times New Roman"/>
              </w:rPr>
            </w:pPr>
            <w:r>
              <w:rPr/>
              <w:t>buffers are established</w:t>
            </w:r>
          </w:p>
          <w:p>
            <w:pPr>
              <w:pStyle w:val="NormalWeb"/>
              <w:numPr>
                <w:ilvl w:val="0"/>
                <w:numId w:val="4"/>
              </w:numPr>
              <w:tabs>
                <w:tab w:val="left" w:pos="720" w:leader="none"/>
              </w:tabs>
              <w:bidi w:val="0"/>
              <w:spacing w:before="0" w:after="0"/>
              <w:ind w:hanging="360" w:left="720" w:right="0"/>
              <w:rPr>
                <w:rFonts w:ascii="Times New Roman" w:hAnsi="Times New Roman"/>
              </w:rPr>
            </w:pPr>
            <w:r>
              <w:rPr/>
              <w:t>lighting controls are in place</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4 — Reassess the scale of LMA</w:t>
            </w:r>
          </w:p>
          <w:p>
            <w:pPr>
              <w:pStyle w:val="NormalWeb"/>
              <w:bidi w:val="0"/>
              <w:spacing w:before="100" w:after="100"/>
              <w:rPr>
                <w:rFonts w:ascii="Times New Roman" w:hAnsi="Times New Roman"/>
              </w:rPr>
            </w:pPr>
            <w:r>
              <w:rPr/>
              <w:t>If AONB setting impacts cannot be mitigated, the allocation must be:</w:t>
            </w:r>
          </w:p>
          <w:p>
            <w:pPr>
              <w:pStyle w:val="NormalWeb"/>
              <w:numPr>
                <w:ilvl w:val="0"/>
                <w:numId w:val="5"/>
              </w:numPr>
              <w:tabs>
                <w:tab w:val="left" w:pos="720" w:leader="none"/>
              </w:tabs>
              <w:bidi w:val="0"/>
              <w:spacing w:before="100" w:after="0"/>
              <w:ind w:hanging="360" w:left="720" w:right="0"/>
              <w:rPr>
                <w:rFonts w:ascii="Times New Roman" w:hAnsi="Times New Roman"/>
              </w:rPr>
            </w:pPr>
            <w:r>
              <w:rPr/>
              <w:t>reduced</w:t>
            </w:r>
          </w:p>
          <w:p>
            <w:pPr>
              <w:pStyle w:val="NormalWeb"/>
              <w:numPr>
                <w:ilvl w:val="0"/>
                <w:numId w:val="5"/>
              </w:numPr>
              <w:tabs>
                <w:tab w:val="left" w:pos="720" w:leader="none"/>
              </w:tabs>
              <w:bidi w:val="0"/>
              <w:spacing w:before="0" w:after="0"/>
              <w:ind w:hanging="360" w:left="720" w:right="0"/>
              <w:rPr>
                <w:rFonts w:ascii="Times New Roman" w:hAnsi="Times New Roman"/>
              </w:rPr>
            </w:pPr>
            <w:r>
              <w:rPr/>
              <w:t>rephased</w:t>
            </w:r>
          </w:p>
          <w:p>
            <w:pPr>
              <w:pStyle w:val="NormalWeb"/>
              <w:numPr>
                <w:ilvl w:val="0"/>
                <w:numId w:val="5"/>
              </w:numPr>
              <w:tabs>
                <w:tab w:val="left" w:pos="720" w:leader="none"/>
              </w:tabs>
              <w:bidi w:val="0"/>
              <w:spacing w:before="0" w:after="0"/>
              <w:ind w:hanging="360" w:left="720" w:right="0"/>
              <w:rPr>
                <w:rFonts w:ascii="Times New Roman" w:hAnsi="Times New Roman"/>
              </w:rPr>
            </w:pPr>
            <w:r>
              <w:rPr/>
              <w:t>or replaced with less sensitive alternatives</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because the SWLP Reg 19 Publication Version provides </w:t>
            </w:r>
            <w:r>
              <w:rPr>
                <w:rStyle w:val="Strong"/>
                <w:lang w:val="en-GB" w:eastAsia="en-GB" w:bidi="ar-SA"/>
              </w:rPr>
              <w:t>no assessment</w:t>
            </w:r>
            <w:r>
              <w:rPr/>
              <w:t xml:space="preserve"> of impacts on the Cotswolds National Landscape (AONB) and </w:t>
            </w:r>
            <w:r>
              <w:rPr>
                <w:rStyle w:val="Strong"/>
                <w:lang w:val="en-GB" w:eastAsia="en-GB" w:bidi="ar-SA"/>
              </w:rPr>
              <w:t>no mitigation strategy</w:t>
            </w:r>
            <w:r>
              <w:rPr/>
              <w:t>.</w:t>
            </w:r>
          </w:p>
          <w:p>
            <w:pPr>
              <w:pStyle w:val="NormalWeb"/>
              <w:bidi w:val="0"/>
              <w:spacing w:before="100" w:after="100"/>
              <w:rPr>
                <w:rFonts w:ascii="Times New Roman" w:hAnsi="Times New Roman"/>
              </w:rPr>
            </w:pPr>
            <w:r>
              <w:rPr/>
              <w:t>The allocation is:</w:t>
            </w:r>
          </w:p>
          <w:p>
            <w:pPr>
              <w:pStyle w:val="NormalWeb"/>
              <w:numPr>
                <w:ilvl w:val="0"/>
                <w:numId w:val="6"/>
              </w:numPr>
              <w:tabs>
                <w:tab w:val="left" w:pos="720" w:leader="none"/>
              </w:tabs>
              <w:bidi w:val="0"/>
              <w:spacing w:before="100" w:after="0"/>
              <w:ind w:hanging="360" w:left="720" w:right="0"/>
              <w:rPr>
                <w:rFonts w:ascii="Times New Roman" w:hAnsi="Times New Roman"/>
              </w:rPr>
            </w:pPr>
            <w:r>
              <w:rPr>
                <w:rStyle w:val="Strong"/>
                <w:lang w:val="en-GB" w:eastAsia="en-GB" w:bidi="ar-SA"/>
              </w:rPr>
              <w:t>Not Justified</w:t>
            </w:r>
          </w:p>
          <w:p>
            <w:pPr>
              <w:pStyle w:val="NormalWeb"/>
              <w:numPr>
                <w:ilvl w:val="0"/>
                <w:numId w:val="6"/>
              </w:numPr>
              <w:tabs>
                <w:tab w:val="left" w:pos="720" w:leader="none"/>
              </w:tabs>
              <w:bidi w:val="0"/>
              <w:spacing w:before="0" w:after="0"/>
              <w:ind w:hanging="360" w:left="720" w:right="0"/>
              <w:rPr>
                <w:rFonts w:ascii="Times New Roman" w:hAnsi="Times New Roman"/>
              </w:rPr>
            </w:pPr>
            <w:r>
              <w:rPr>
                <w:rStyle w:val="Strong"/>
                <w:lang w:val="en-GB" w:eastAsia="en-GB" w:bidi="ar-SA"/>
              </w:rPr>
              <w:t>Not Effective</w:t>
            </w:r>
          </w:p>
          <w:p>
            <w:pPr>
              <w:pStyle w:val="NormalWeb"/>
              <w:numPr>
                <w:ilvl w:val="0"/>
                <w:numId w:val="6"/>
              </w:numPr>
              <w:tabs>
                <w:tab w:val="left" w:pos="720" w:leader="none"/>
              </w:tabs>
              <w:bidi w:val="0"/>
              <w:spacing w:before="0" w:after="100"/>
              <w:ind w:hanging="360" w:left="720" w:right="0"/>
              <w:rPr>
                <w:rFonts w:ascii="Times New Roman" w:hAnsi="Times New Roman"/>
              </w:rPr>
            </w:pPr>
            <w:r>
              <w:rPr>
                <w:rStyle w:val="Strong"/>
                <w:lang w:val="en-GB" w:eastAsia="en-GB" w:bidi="ar-SA"/>
              </w:rPr>
              <w:t>Not Consistent with National Policy</w:t>
            </w:r>
          </w:p>
          <w:p>
            <w:pPr>
              <w:pStyle w:val="NormalWeb"/>
              <w:bidi w:val="0"/>
              <w:spacing w:before="100" w:after="100"/>
              <w:rPr>
                <w:rFonts w:ascii="Times New Roman" w:hAnsi="Times New Roman"/>
              </w:rPr>
            </w:pPr>
            <w:r>
              <w:rPr/>
              <w:t>The requested modifications are essential to make the plan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Application>LibreOffice/26.2.5.2$Windows_X86_64 LibreOffice_project/cd7284b4cbbfeb507e630c1aac019f4157393acb</Application>
  <AppVersion>15.0000</AppVersion>
  <Pages>8</Pages>
  <Words>1563</Words>
  <Characters>8437</Characters>
  <CharactersWithSpaces>9761</CharactersWithSpaces>
  <Paragraphs>208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2026-08-28T13:55:55Z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