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6"/>
        <w:gridCol w:w="1630"/>
        <w:gridCol w:w="674"/>
        <w:gridCol w:w="712"/>
        <w:gridCol w:w="283"/>
        <w:gridCol w:w="285"/>
        <w:gridCol w:w="1924"/>
        <w:gridCol w:w="1107"/>
        <w:gridCol w:w="269"/>
      </w:tblGrid>
      <w:tr>
        <w:trPr>
          <w:trHeight w:val="1104" w:hRule="atLeast"/>
          <w:cantSplit/>
        </w:trPr>
        <w:tc>
          <w:tcPr>
            <w:tcW w:w="2162"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8"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2"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NPPF</w:t>
            </w:r>
          </w:p>
          <w:p>
            <w:pPr>
              <w:pStyle w:val="Normal"/>
              <w:rPr>
                <w:rFonts w:ascii="Arial" w:hAnsi="Arial" w:cs="Arial"/>
              </w:rPr>
            </w:pPr>
            <w:r>
              <w:rPr>
                <w:rFonts w:cs="Arial" w:ascii="Arial" w:hAnsi="Arial"/>
              </w:rPr>
              <w:t>176</w:t>
            </w:r>
          </w:p>
          <w:p>
            <w:pPr>
              <w:pStyle w:val="Normal"/>
              <w:rPr>
                <w:rFonts w:ascii="Arial" w:hAnsi="Arial" w:cs="Arial"/>
              </w:rPr>
            </w:pPr>
            <w:r>
              <w:rPr>
                <w:rFonts w:cs="Arial" w:ascii="Arial" w:hAnsi="Arial"/>
              </w:rPr>
              <w:t>177</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rPr>
            </w:pPr>
            <w:r>
              <w:rPr>
                <w:rFonts w:cs="Arial" w:ascii="Arial" w:hAnsi="Arial"/>
              </w:rPr>
              <w:t>The Proposed LMA development of over 10,00 houses and associated infrastructure lies within the 3km setting zone of the Cotswolds National Landscape. While this is not a statutory prohibition, NPPF §176–177 require great weight to be given to conserving landscape and scenic beauty, including the setting of AONBs. The SWLP Reg 19 provides no landscape sensitivity assessment, no view analysis, and no mitigation strategy for LMA’s impact on the AONB’s setting, tranquillity, dark skies, or rural character. The allocation is therefore not justified, not effective, and not consistent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rPr>
            </w:pPr>
            <w:r>
              <w:rPr>
                <w:rFonts w:ascii="Arial" w:hAnsi="Arial"/>
              </w:rPr>
            </w:r>
          </w:p>
          <w:p>
            <w:pPr>
              <w:pStyle w:val="Normal"/>
              <w:rPr>
                <w:rFonts w:ascii="Arial" w:hAnsi="Arial"/>
              </w:rPr>
            </w:pPr>
            <w:r>
              <w:rPr>
                <w:rFonts w:ascii="Arial" w:hAnsi="Arial"/>
              </w:rPr>
              <w:t>P</w:t>
            </w:r>
            <w:r>
              <w:rPr>
                <w:rFonts w:ascii="Arial" w:hAnsi="Arial"/>
              </w:rPr>
              <w:t>rovide:</w:t>
            </w:r>
          </w:p>
          <w:p>
            <w:pPr>
              <w:pStyle w:val="Normal"/>
              <w:rPr>
                <w:rFonts w:ascii="Arial" w:hAnsi="Arial"/>
              </w:rPr>
            </w:pPr>
            <w:r>
              <w:rPr>
                <w:rFonts w:ascii="Arial" w:hAnsi="Arial"/>
              </w:rPr>
            </w:r>
          </w:p>
          <w:p>
            <w:pPr>
              <w:pStyle w:val="Normal"/>
              <w:numPr>
                <w:ilvl w:val="0"/>
                <w:numId w:val="2"/>
              </w:numPr>
              <w:rPr>
                <w:rFonts w:ascii="Arial" w:hAnsi="Arial"/>
              </w:rPr>
            </w:pPr>
            <w:r>
              <w:rPr>
                <w:rFonts w:ascii="Arial" w:hAnsi="Arial"/>
              </w:rPr>
              <w:t xml:space="preserve">landscape sensitivity assessment, </w:t>
            </w:r>
          </w:p>
          <w:p>
            <w:pPr>
              <w:pStyle w:val="Normal"/>
              <w:numPr>
                <w:ilvl w:val="0"/>
                <w:numId w:val="2"/>
              </w:numPr>
              <w:rPr>
                <w:rFonts w:ascii="Arial" w:hAnsi="Arial"/>
              </w:rPr>
            </w:pPr>
            <w:r>
              <w:rPr>
                <w:rFonts w:ascii="Arial" w:hAnsi="Arial"/>
              </w:rPr>
              <w:t>view analys</w:t>
            </w:r>
            <w:r>
              <w:rPr>
                <w:rFonts w:ascii="Arial" w:hAnsi="Arial"/>
              </w:rPr>
              <w:t>e</w:t>
            </w:r>
            <w:r>
              <w:rPr>
                <w:rFonts w:ascii="Arial" w:hAnsi="Arial"/>
              </w:rPr>
              <w:t xml:space="preserve">s, </w:t>
            </w:r>
          </w:p>
          <w:p>
            <w:pPr>
              <w:pStyle w:val="Normal"/>
              <w:numPr>
                <w:ilvl w:val="0"/>
                <w:numId w:val="2"/>
              </w:numPr>
              <w:rPr>
                <w:rFonts w:ascii="Arial" w:hAnsi="Arial"/>
              </w:rPr>
            </w:pPr>
            <w:r>
              <w:rPr>
                <w:rFonts w:ascii="Arial" w:hAnsi="Arial"/>
              </w:rPr>
              <w:t>mitigation strategy for LMA’s impact on the AONB’s setting, tranquillity, dark skies, or rural character.</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the required mitigations strategies are deemed inadequate then restore the the plans for the Long Marston Airfield back to the already agreed Garden Village settlement.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LibreOffice/26.2.5.2$Windows_X86_64 LibreOffice_project/cd7284b4cbbfeb507e630c1aac019f4157393acb</Application>
  <AppVersion>15.0000</AppVersion>
  <Pages>5</Pages>
  <Words>975</Words>
  <Characters>5222</Characters>
  <CharactersWithSpaces>6123</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2026-08-28T22:07:06Z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