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Regulation 19 Representation – HELAA 355 (Solar Farm) Forces LMA Toward Long Marston Village</w:t>
            </w:r>
          </w:p>
          <w:p>
            <w:pPr>
              <w:pStyle w:val="NormalWeb"/>
              <w:bidi w:val="0"/>
              <w:spacing w:before="100" w:after="100"/>
              <w:rPr>
                <w:rFonts w:ascii="Times New Roman" w:hAnsi="Times New Roman"/>
              </w:rPr>
            </w:pPr>
            <w:r>
              <w:rPr>
                <w:rStyle w:val="Strong"/>
                <w:lang w:val="en-GB" w:eastAsia="en-GB" w:bidi="ar-SA"/>
              </w:rPr>
              <w:t>Tests of Soundness: Not Justified • Not Effective • Not Consistent with National Policy (NPPF §31, §35, §127, §176–177)</w:t>
            </w:r>
            <w:r>
              <w:rPr/>
              <w:t xml:space="preserve"> Ref: </w:t>
            </w:r>
            <w:r>
              <w:rPr>
                <w:rStyle w:val="Emphasis"/>
                <w:lang w:val="en-GB" w:eastAsia="en-GB" w:bidi="ar-SA"/>
              </w:rPr>
              <w:t>SWLP Reg 19 Publication Version</w:t>
            </w:r>
            <w:r>
              <w:rPr/>
              <w:t xml:space="preserve"> </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 Summary of Representation</w:t>
            </w:r>
          </w:p>
          <w:p>
            <w:pPr>
              <w:pStyle w:val="NormalWeb"/>
              <w:bidi w:val="0"/>
              <w:spacing w:before="100" w:after="100"/>
              <w:rPr>
                <w:rFonts w:ascii="Times New Roman" w:hAnsi="Times New Roman"/>
              </w:rPr>
            </w:pPr>
            <w:r>
              <w:rPr/>
              <w:t xml:space="preserve">I object to </w:t>
            </w:r>
            <w:r>
              <w:rPr>
                <w:rStyle w:val="Strong"/>
                <w:lang w:val="en-GB" w:eastAsia="en-GB" w:bidi="ar-SA"/>
              </w:rPr>
              <w:t>Proposal LMA – Long Marston Airfield New Community</w:t>
            </w:r>
            <w:r>
              <w:rPr/>
              <w:t xml:space="preserve"> because the SWLP Reg 19 Publication Version </w:t>
            </w:r>
            <w:r>
              <w:rPr>
                <w:rStyle w:val="Strong"/>
                <w:lang w:val="en-GB" w:eastAsia="en-GB" w:bidi="ar-SA"/>
              </w:rPr>
              <w:t>fails to assess the spatial impact</w:t>
            </w:r>
            <w:r>
              <w:rPr/>
              <w:t xml:space="preserve"> of </w:t>
            </w:r>
            <w:r>
              <w:rPr>
                <w:rStyle w:val="Strong"/>
                <w:lang w:val="en-GB" w:eastAsia="en-GB" w:bidi="ar-SA"/>
              </w:rPr>
              <w:t>HELAA Site 355 (Long Marston Solar Farm)</w:t>
            </w:r>
            <w:r>
              <w:rPr/>
              <w:t xml:space="preserve">, which lies </w:t>
            </w:r>
            <w:r>
              <w:rPr>
                <w:rStyle w:val="Strong"/>
                <w:lang w:val="en-GB" w:eastAsia="en-GB" w:bidi="ar-SA"/>
              </w:rPr>
              <w:t>inside part of the LMA allocation</w:t>
            </w:r>
            <w:r>
              <w:rPr/>
              <w:t>.</w:t>
            </w:r>
          </w:p>
          <w:p>
            <w:pPr>
              <w:pStyle w:val="NormalWeb"/>
              <w:bidi w:val="0"/>
              <w:spacing w:before="100" w:after="100"/>
              <w:rPr>
                <w:rFonts w:ascii="Times New Roman" w:hAnsi="Times New Roman"/>
              </w:rPr>
            </w:pPr>
            <w:r>
              <w:rPr/>
              <w:t xml:space="preserve">The solar farm is a </w:t>
            </w:r>
            <w:r>
              <w:rPr>
                <w:rStyle w:val="Strong"/>
                <w:lang w:val="en-GB" w:eastAsia="en-GB" w:bidi="ar-SA"/>
              </w:rPr>
              <w:t>fixed, non</w:t>
              <w:noBreakHyphen/>
              <w:t>developable block</w:t>
            </w:r>
            <w:r>
              <w:rPr/>
              <w:t xml:space="preserve"> that </w:t>
            </w:r>
            <w:r>
              <w:rPr>
                <w:rStyle w:val="Strong"/>
                <w:lang w:val="en-GB" w:eastAsia="en-GB" w:bidi="ar-SA"/>
              </w:rPr>
              <w:t xml:space="preserve">forces any new settlement Southwards </w:t>
            </w:r>
            <w:r>
              <w:rPr/>
              <w:t>, pushing development:</w:t>
            </w:r>
          </w:p>
          <w:p>
            <w:pPr>
              <w:pStyle w:val="NormalWeb"/>
              <w:numPr>
                <w:ilvl w:val="0"/>
                <w:numId w:val="12"/>
              </w:numPr>
              <w:tabs>
                <w:tab w:val="left" w:pos="720" w:leader="none"/>
              </w:tabs>
              <w:bidi w:val="0"/>
              <w:spacing w:before="100" w:after="100"/>
              <w:rPr/>
            </w:pPr>
            <w:r>
              <w:rPr>
                <w:rStyle w:val="Strong"/>
                <w:lang w:val="en-GB" w:eastAsia="en-GB" w:bidi="ar-SA"/>
              </w:rPr>
              <w:t>toward Long Marston village</w:t>
            </w:r>
            <w:r>
              <w:rPr/>
              <w:t>,</w:t>
            </w:r>
          </w:p>
          <w:p>
            <w:pPr>
              <w:pStyle w:val="NormalWeb"/>
              <w:numPr>
                <w:ilvl w:val="0"/>
                <w:numId w:val="12"/>
              </w:numPr>
              <w:tabs>
                <w:tab w:val="left" w:pos="720" w:leader="none"/>
              </w:tabs>
              <w:bidi w:val="0"/>
              <w:spacing w:before="100" w:after="100"/>
              <w:rPr/>
            </w:pPr>
            <w:r>
              <w:rPr>
                <w:rStyle w:val="Strong"/>
                <w:lang w:val="en-GB" w:eastAsia="en-GB" w:bidi="ar-SA"/>
              </w:rPr>
              <w:t>toward Meon Vale</w:t>
            </w:r>
            <w:r>
              <w:rPr/>
              <w:t>,</w:t>
            </w:r>
          </w:p>
          <w:p>
            <w:pPr>
              <w:pStyle w:val="NormalWeb"/>
              <w:numPr>
                <w:ilvl w:val="0"/>
                <w:numId w:val="12"/>
              </w:numPr>
              <w:tabs>
                <w:tab w:val="left" w:pos="720" w:leader="none"/>
              </w:tabs>
              <w:bidi w:val="0"/>
              <w:spacing w:before="100" w:after="100"/>
              <w:rPr/>
            </w:pPr>
            <w:r>
              <w:rPr>
                <w:rStyle w:val="Strong"/>
                <w:lang w:val="en-GB" w:eastAsia="en-GB" w:bidi="ar-SA"/>
              </w:rPr>
              <w:t>toward sensitive landscape areas</w:t>
            </w:r>
            <w:r>
              <w:rPr/>
              <w:t>,</w:t>
            </w:r>
          </w:p>
          <w:p>
            <w:pPr>
              <w:pStyle w:val="NormalWeb"/>
              <w:numPr>
                <w:ilvl w:val="0"/>
                <w:numId w:val="12"/>
              </w:numPr>
              <w:tabs>
                <w:tab w:val="left" w:pos="720" w:leader="none"/>
              </w:tabs>
              <w:bidi w:val="0"/>
              <w:spacing w:before="100" w:after="100"/>
              <w:rPr/>
            </w:pPr>
            <w:r>
              <w:rPr>
                <w:rStyle w:val="Strong"/>
                <w:lang w:val="en-GB" w:eastAsia="en-GB" w:bidi="ar-SA"/>
              </w:rPr>
              <w:t>toward the Cotswolds AONB setting</w:t>
            </w:r>
            <w:r>
              <w:rPr/>
              <w:t>,</w:t>
            </w:r>
          </w:p>
          <w:p>
            <w:pPr>
              <w:pStyle w:val="NormalWeb"/>
              <w:numPr>
                <w:ilvl w:val="0"/>
                <w:numId w:val="12"/>
              </w:numPr>
              <w:tabs>
                <w:tab w:val="left" w:pos="720" w:leader="none"/>
              </w:tabs>
              <w:bidi w:val="0"/>
              <w:spacing w:before="100" w:after="100"/>
              <w:rPr>
                <w:rFonts w:ascii="Times New Roman" w:hAnsi="Times New Roman"/>
              </w:rPr>
            </w:pPr>
            <w:r>
              <w:rPr>
                <w:rStyle w:val="Strong"/>
                <w:lang w:val="en-GB" w:eastAsia="en-GB" w:bidi="ar-SA"/>
              </w:rPr>
              <w:t>toward existing communities</w:t>
            </w:r>
            <w:r>
              <w:rPr/>
              <w:t>,</w:t>
            </w:r>
          </w:p>
          <w:p>
            <w:pPr>
              <w:pStyle w:val="NormalWeb"/>
              <w:bidi w:val="0"/>
              <w:spacing w:before="100" w:after="100"/>
              <w:rPr>
                <w:rFonts w:ascii="Times New Roman" w:hAnsi="Times New Roman"/>
              </w:rPr>
            </w:pPr>
            <w:r>
              <w:rPr/>
              <w:t>and away from the logical access corridor (B4632).</w:t>
            </w:r>
          </w:p>
          <w:p>
            <w:pPr>
              <w:pStyle w:val="NormalWeb"/>
              <w:bidi w:val="0"/>
              <w:spacing w:before="100" w:after="100"/>
              <w:rPr>
                <w:rFonts w:ascii="Times New Roman" w:hAnsi="Times New Roman"/>
              </w:rPr>
            </w:pPr>
            <w:r>
              <w:rPr/>
              <w:t xml:space="preserve">This omission renders the allocation </w:t>
            </w:r>
            <w:r>
              <w:rPr>
                <w:rStyle w:val="Strong"/>
                <w:lang w:val="en-GB" w:eastAsia="en-GB" w:bidi="ar-SA"/>
              </w:rPr>
              <w:t>unsound</w:t>
            </w:r>
            <w:r>
              <w:rPr/>
              <w:t>.</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 Map</w:t>
              <w:noBreakHyphen/>
              <w:t>Based Spatial Explanation</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2.1 Where HELAA 355 sits</w:t>
            </w:r>
          </w:p>
          <w:p>
            <w:pPr>
              <w:pStyle w:val="NormalWeb"/>
              <w:bidi w:val="0"/>
              <w:spacing w:before="100" w:after="100"/>
              <w:rPr>
                <w:rFonts w:ascii="Times New Roman" w:hAnsi="Times New Roman"/>
              </w:rPr>
            </w:pPr>
            <w:r>
              <w:rPr/>
              <w:t>HELAA Site 355 (the solar farm) is located:</w:t>
            </w:r>
          </w:p>
          <w:p>
            <w:pPr>
              <w:pStyle w:val="NormalWeb"/>
              <w:numPr>
                <w:ilvl w:val="0"/>
                <w:numId w:val="3"/>
              </w:numPr>
              <w:tabs>
                <w:tab w:val="left" w:pos="720" w:leader="none"/>
              </w:tabs>
              <w:bidi w:val="0"/>
              <w:spacing w:before="100" w:after="100"/>
              <w:ind w:hanging="360" w:left="720" w:right="0"/>
              <w:rPr>
                <w:rFonts w:ascii="Times New Roman" w:hAnsi="Times New Roman"/>
              </w:rPr>
            </w:pPr>
            <w:r>
              <w:rPr>
                <w:rStyle w:val="Strong"/>
                <w:lang w:val="en-GB" w:eastAsia="en-GB" w:bidi="ar-SA"/>
              </w:rPr>
              <w:t>East of the B4632 (Campden Road)</w:t>
            </w:r>
          </w:p>
          <w:p>
            <w:pPr>
              <w:pStyle w:val="NormalWeb"/>
              <w:numPr>
                <w:ilvl w:val="0"/>
                <w:numId w:val="3"/>
              </w:numPr>
              <w:tabs>
                <w:tab w:val="left" w:pos="720" w:leader="none"/>
              </w:tabs>
              <w:bidi w:val="0"/>
              <w:spacing w:before="100" w:after="100"/>
              <w:ind w:hanging="360" w:left="720" w:right="0"/>
              <w:rPr>
                <w:rFonts w:ascii="Times New Roman" w:hAnsi="Times New Roman"/>
              </w:rPr>
            </w:pPr>
            <w:r>
              <w:rPr>
                <w:rStyle w:val="Strong"/>
                <w:lang w:val="en-GB" w:eastAsia="en-GB" w:bidi="ar-SA"/>
              </w:rPr>
              <w:t>At the Northern edge of the proposed LMA</w:t>
            </w:r>
          </w:p>
          <w:p>
            <w:pPr>
              <w:pStyle w:val="NormalWeb"/>
              <w:numPr>
                <w:ilvl w:val="0"/>
                <w:numId w:val="3"/>
              </w:numPr>
              <w:tabs>
                <w:tab w:val="left" w:pos="720" w:leader="none"/>
              </w:tabs>
              <w:bidi w:val="0"/>
              <w:spacing w:before="100" w:after="100"/>
              <w:ind w:hanging="360" w:left="720" w:right="0"/>
              <w:rPr>
                <w:rFonts w:ascii="Times New Roman" w:hAnsi="Times New Roman"/>
              </w:rPr>
            </w:pPr>
            <w:r>
              <w:rPr>
                <w:rStyle w:val="Strong"/>
                <w:lang w:val="en-GB" w:eastAsia="en-GB" w:bidi="ar-SA"/>
              </w:rPr>
              <w:t>Inside the wider LMA strategic area</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2.2 Why this matters</w:t>
            </w:r>
          </w:p>
          <w:p>
            <w:pPr>
              <w:pStyle w:val="NormalWeb"/>
              <w:bidi w:val="0"/>
              <w:spacing w:before="100" w:after="100"/>
              <w:rPr>
                <w:rFonts w:ascii="Times New Roman" w:hAnsi="Times New Roman"/>
              </w:rPr>
            </w:pPr>
            <w:r>
              <w:rPr/>
              <w:t>Because the solar farm occupies this land:</w:t>
            </w:r>
          </w:p>
          <w:p>
            <w:pPr>
              <w:pStyle w:val="NormalWeb"/>
              <w:numPr>
                <w:ilvl w:val="0"/>
                <w:numId w:val="4"/>
              </w:numPr>
              <w:tabs>
                <w:tab w:val="left" w:pos="720" w:leader="none"/>
              </w:tabs>
              <w:bidi w:val="0"/>
              <w:spacing w:before="100" w:after="100"/>
              <w:ind w:hanging="360" w:left="720" w:right="0"/>
              <w:rPr>
                <w:rFonts w:ascii="Times New Roman" w:hAnsi="Times New Roman"/>
              </w:rPr>
            </w:pPr>
            <w:r>
              <w:rPr/>
              <w:t xml:space="preserve">Part of the LMA becomes </w:t>
            </w:r>
            <w:r>
              <w:rPr>
                <w:rStyle w:val="Strong"/>
                <w:lang w:val="en-GB" w:eastAsia="en-GB" w:bidi="ar-SA"/>
              </w:rPr>
              <w:t>blocked</w:t>
            </w:r>
            <w:r>
              <w:rPr/>
              <w:t>.</w:t>
            </w:r>
          </w:p>
          <w:p>
            <w:pPr>
              <w:pStyle w:val="NormalWeb"/>
              <w:numPr>
                <w:ilvl w:val="0"/>
                <w:numId w:val="4"/>
              </w:numPr>
              <w:tabs>
                <w:tab w:val="left" w:pos="720" w:leader="none"/>
              </w:tabs>
              <w:bidi w:val="0"/>
              <w:spacing w:before="100" w:after="100"/>
              <w:ind w:hanging="360" w:left="720" w:right="0"/>
              <w:rPr>
                <w:rFonts w:ascii="Times New Roman" w:hAnsi="Times New Roman"/>
              </w:rPr>
            </w:pPr>
            <w:r>
              <w:rPr/>
              <w:t xml:space="preserve">The main developable land shifts </w:t>
            </w:r>
            <w:r>
              <w:rPr>
                <w:rStyle w:val="Strong"/>
                <w:lang w:val="en-GB" w:eastAsia="en-GB" w:bidi="ar-SA"/>
              </w:rPr>
              <w:t>southwards</w:t>
            </w:r>
            <w:r>
              <w:rPr/>
              <w:t>.</w:t>
            </w:r>
          </w:p>
          <w:p>
            <w:pPr>
              <w:pStyle w:val="NormalWeb"/>
              <w:numPr>
                <w:ilvl w:val="0"/>
                <w:numId w:val="4"/>
              </w:numPr>
              <w:tabs>
                <w:tab w:val="left" w:pos="720" w:leader="none"/>
              </w:tabs>
              <w:bidi w:val="0"/>
              <w:spacing w:before="100" w:after="100"/>
              <w:ind w:hanging="360" w:left="720" w:right="0"/>
              <w:rPr>
                <w:rFonts w:ascii="Times New Roman" w:hAnsi="Times New Roman"/>
              </w:rPr>
            </w:pPr>
            <w:r>
              <w:rPr/>
              <w:t xml:space="preserve">The masterplan is </w:t>
            </w:r>
            <w:r>
              <w:rPr>
                <w:rStyle w:val="Strong"/>
                <w:lang w:val="en-GB" w:eastAsia="en-GB" w:bidi="ar-SA"/>
              </w:rPr>
              <w:t>compressed</w:t>
            </w:r>
            <w:r>
              <w:rPr/>
              <w:t xml:space="preserve"> toward existing settlements.</w:t>
            </w:r>
          </w:p>
          <w:p>
            <w:pPr>
              <w:pStyle w:val="NormalWeb"/>
              <w:numPr>
                <w:ilvl w:val="0"/>
                <w:numId w:val="4"/>
              </w:numPr>
              <w:tabs>
                <w:tab w:val="left" w:pos="720" w:leader="none"/>
              </w:tabs>
              <w:bidi w:val="0"/>
              <w:spacing w:before="100" w:after="100"/>
              <w:ind w:hanging="360" w:left="720" w:right="0"/>
              <w:rPr>
                <w:rFonts w:ascii="Times New Roman" w:hAnsi="Times New Roman"/>
              </w:rPr>
            </w:pPr>
            <w:r>
              <w:rPr/>
              <w:t xml:space="preserve">The settlement footprint moves </w:t>
            </w:r>
            <w:r>
              <w:rPr>
                <w:rStyle w:val="Strong"/>
                <w:lang w:val="en-GB" w:eastAsia="en-GB" w:bidi="ar-SA"/>
              </w:rPr>
              <w:t>closer to Long Marston village and Meon Vale</w:t>
            </w:r>
            <w:r>
              <w:rPr/>
              <w:t>.</w:t>
            </w:r>
          </w:p>
          <w:p>
            <w:pPr>
              <w:pStyle w:val="NormalWeb"/>
              <w:numPr>
                <w:ilvl w:val="0"/>
                <w:numId w:val="4"/>
              </w:numPr>
              <w:tabs>
                <w:tab w:val="left" w:pos="720" w:leader="none"/>
              </w:tabs>
              <w:bidi w:val="0"/>
              <w:spacing w:before="100" w:after="100"/>
              <w:ind w:hanging="360" w:left="720" w:right="0"/>
              <w:rPr>
                <w:rFonts w:ascii="Times New Roman" w:hAnsi="Times New Roman"/>
              </w:rPr>
            </w:pPr>
            <w:r>
              <w:rPr/>
              <w:t xml:space="preserve">The risk of </w:t>
            </w:r>
            <w:r>
              <w:rPr>
                <w:rStyle w:val="Strong"/>
                <w:lang w:val="en-GB" w:eastAsia="en-GB" w:bidi="ar-SA"/>
              </w:rPr>
              <w:t>coalescence</w:t>
            </w:r>
            <w:r>
              <w:rPr/>
              <w:t xml:space="preserve"> increases significantly.</w:t>
            </w:r>
          </w:p>
          <w:p>
            <w:pPr>
              <w:pStyle w:val="NormalWeb"/>
              <w:numPr>
                <w:ilvl w:val="0"/>
                <w:numId w:val="4"/>
              </w:numPr>
              <w:tabs>
                <w:tab w:val="left" w:pos="720" w:leader="none"/>
              </w:tabs>
              <w:bidi w:val="0"/>
              <w:spacing w:before="100" w:after="100"/>
              <w:ind w:hanging="360" w:left="720" w:right="0"/>
              <w:rPr>
                <w:rFonts w:ascii="Times New Roman" w:hAnsi="Times New Roman"/>
              </w:rPr>
            </w:pPr>
            <w:r>
              <w:rPr/>
              <w:t xml:space="preserve">Landscape impacts intensify because development moves into </w:t>
            </w:r>
            <w:r>
              <w:rPr>
                <w:rStyle w:val="Strong"/>
                <w:lang w:val="en-GB" w:eastAsia="en-GB" w:bidi="ar-SA"/>
              </w:rPr>
              <w:t>more sensitive areas</w:t>
            </w:r>
            <w:r>
              <w:rPr/>
              <w: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2.3 What the Council failed to do</w:t>
            </w:r>
          </w:p>
          <w:p>
            <w:pPr>
              <w:pStyle w:val="NormalWeb"/>
              <w:bidi w:val="0"/>
              <w:spacing w:before="100" w:after="100"/>
              <w:rPr>
                <w:rFonts w:ascii="Times New Roman" w:hAnsi="Times New Roman"/>
              </w:rPr>
            </w:pPr>
            <w:r>
              <w:rPr/>
              <w:t>The SWLP Reg 19:</w:t>
            </w:r>
          </w:p>
          <w:p>
            <w:pPr>
              <w:pStyle w:val="NormalWeb"/>
              <w:numPr>
                <w:ilvl w:val="0"/>
                <w:numId w:val="5"/>
              </w:numPr>
              <w:tabs>
                <w:tab w:val="left" w:pos="720" w:leader="none"/>
              </w:tabs>
              <w:bidi w:val="0"/>
              <w:spacing w:before="100" w:after="100"/>
              <w:ind w:hanging="360" w:left="720" w:right="0"/>
              <w:rPr>
                <w:rFonts w:ascii="Times New Roman" w:hAnsi="Times New Roman"/>
              </w:rPr>
            </w:pPr>
            <w:r>
              <w:rPr/>
              <w:t xml:space="preserve">does </w:t>
            </w:r>
            <w:r>
              <w:rPr>
                <w:rStyle w:val="Strong"/>
                <w:lang w:val="en-GB" w:eastAsia="en-GB" w:bidi="ar-SA"/>
              </w:rPr>
              <w:t xml:space="preserve">not </w:t>
            </w:r>
            <w:r>
              <w:rPr>
                <w:rStyle w:val="Strong"/>
                <w:lang w:val="en-GB" w:eastAsia="en-GB" w:bidi="ar-SA"/>
              </w:rPr>
              <w:t xml:space="preserve">adequately </w:t>
            </w:r>
            <w:r>
              <w:rPr>
                <w:rStyle w:val="Strong"/>
                <w:lang w:val="en-GB" w:eastAsia="en-GB" w:bidi="ar-SA"/>
              </w:rPr>
              <w:t>map HELAA 355</w:t>
            </w:r>
            <w:r>
              <w:rPr/>
              <w:t>,</w:t>
            </w:r>
          </w:p>
          <w:p>
            <w:pPr>
              <w:pStyle w:val="NormalWeb"/>
              <w:numPr>
                <w:ilvl w:val="0"/>
                <w:numId w:val="5"/>
              </w:numPr>
              <w:tabs>
                <w:tab w:val="left" w:pos="720" w:leader="none"/>
              </w:tabs>
              <w:bidi w:val="0"/>
              <w:spacing w:before="100" w:after="100"/>
              <w:ind w:hanging="360" w:left="720" w:right="0"/>
              <w:rPr>
                <w:rFonts w:ascii="Times New Roman" w:hAnsi="Times New Roman"/>
              </w:rPr>
            </w:pPr>
            <w:r>
              <w:rPr/>
              <w:t xml:space="preserve">does </w:t>
            </w:r>
            <w:r>
              <w:rPr>
                <w:rStyle w:val="Strong"/>
                <w:lang w:val="en-GB" w:eastAsia="en-GB" w:bidi="ar-SA"/>
              </w:rPr>
              <w:t xml:space="preserve">not </w:t>
            </w:r>
            <w:r>
              <w:rPr>
                <w:rStyle w:val="Strong"/>
                <w:lang w:val="en-GB" w:eastAsia="en-GB" w:bidi="ar-SA"/>
              </w:rPr>
              <w:t xml:space="preserve">fully </w:t>
            </w:r>
            <w:r>
              <w:rPr>
                <w:rStyle w:val="Strong"/>
                <w:lang w:val="en-GB" w:eastAsia="en-GB" w:bidi="ar-SA"/>
              </w:rPr>
              <w:t>assess its spatial impact</w:t>
            </w:r>
            <w:r>
              <w:rPr/>
              <w:t>,</w:t>
            </w:r>
          </w:p>
          <w:p>
            <w:pPr>
              <w:pStyle w:val="NormalWeb"/>
              <w:numPr>
                <w:ilvl w:val="0"/>
                <w:numId w:val="5"/>
              </w:numPr>
              <w:tabs>
                <w:tab w:val="left" w:pos="720" w:leader="none"/>
              </w:tabs>
              <w:bidi w:val="0"/>
              <w:spacing w:before="100" w:after="100"/>
              <w:ind w:hanging="360" w:left="720" w:right="0"/>
              <w:rPr>
                <w:rFonts w:ascii="Times New Roman" w:hAnsi="Times New Roman"/>
              </w:rPr>
            </w:pPr>
            <w:r>
              <w:rPr/>
              <w:t xml:space="preserve">does </w:t>
            </w:r>
            <w:r>
              <w:rPr>
                <w:rStyle w:val="Strong"/>
                <w:lang w:val="en-GB" w:eastAsia="en-GB" w:bidi="ar-SA"/>
              </w:rPr>
              <w:t>not show how it distorts the masterplan</w:t>
            </w:r>
            <w:r>
              <w:rPr/>
              <w:t>,</w:t>
            </w:r>
          </w:p>
          <w:p>
            <w:pPr>
              <w:pStyle w:val="NormalWeb"/>
              <w:numPr>
                <w:ilvl w:val="0"/>
                <w:numId w:val="5"/>
              </w:numPr>
              <w:tabs>
                <w:tab w:val="left" w:pos="720" w:leader="none"/>
              </w:tabs>
              <w:bidi w:val="0"/>
              <w:spacing w:before="100" w:after="100"/>
              <w:ind w:hanging="360" w:left="720" w:right="0"/>
              <w:rPr>
                <w:rFonts w:ascii="Times New Roman" w:hAnsi="Times New Roman"/>
              </w:rPr>
            </w:pPr>
            <w:r>
              <w:rPr/>
              <w:t xml:space="preserve">does </w:t>
            </w:r>
            <w:r>
              <w:rPr>
                <w:rStyle w:val="Strong"/>
                <w:lang w:val="en-GB" w:eastAsia="en-GB" w:bidi="ar-SA"/>
              </w:rPr>
              <w:t>not consider cumulative landscape effects</w:t>
            </w:r>
            <w:r>
              <w:rPr/>
              <w:t>,</w:t>
            </w:r>
          </w:p>
          <w:p>
            <w:pPr>
              <w:pStyle w:val="NormalWeb"/>
              <w:numPr>
                <w:ilvl w:val="0"/>
                <w:numId w:val="5"/>
              </w:numPr>
              <w:tabs>
                <w:tab w:val="left" w:pos="720" w:leader="none"/>
              </w:tabs>
              <w:bidi w:val="0"/>
              <w:spacing w:before="100" w:after="100"/>
              <w:ind w:hanging="360" w:left="720" w:right="0"/>
              <w:rPr>
                <w:rFonts w:ascii="Times New Roman" w:hAnsi="Times New Roman"/>
              </w:rPr>
            </w:pPr>
            <w:r>
              <w:rPr/>
              <w:t xml:space="preserve">does </w:t>
            </w:r>
            <w:r>
              <w:rPr>
                <w:rStyle w:val="Strong"/>
                <w:lang w:val="en-GB" w:eastAsia="en-GB" w:bidi="ar-SA"/>
              </w:rPr>
              <w:t>not consider coalescence risk</w:t>
            </w:r>
            <w:r>
              <w:rPr/>
              <w:t>,</w:t>
            </w:r>
          </w:p>
          <w:p>
            <w:pPr>
              <w:pStyle w:val="NormalWeb"/>
              <w:numPr>
                <w:ilvl w:val="0"/>
                <w:numId w:val="5"/>
              </w:numPr>
              <w:tabs>
                <w:tab w:val="left" w:pos="720" w:leader="none"/>
              </w:tabs>
              <w:bidi w:val="0"/>
              <w:spacing w:before="100" w:after="100"/>
              <w:ind w:hanging="360" w:left="720" w:right="0"/>
              <w:rPr>
                <w:rFonts w:ascii="Times New Roman" w:hAnsi="Times New Roman"/>
              </w:rPr>
            </w:pPr>
            <w:r>
              <w:rPr/>
              <w:t xml:space="preserve">does </w:t>
            </w:r>
            <w:r>
              <w:rPr>
                <w:rStyle w:val="Strong"/>
                <w:lang w:val="en-GB" w:eastAsia="en-GB" w:bidi="ar-SA"/>
              </w:rPr>
              <w:t>not consider grid capacity implications</w:t>
            </w:r>
            <w:r>
              <w:rPr/>
              <w:t>.</w:t>
            </w:r>
          </w:p>
          <w:p>
            <w:pPr>
              <w:pStyle w:val="NormalWeb"/>
              <w:bidi w:val="0"/>
              <w:spacing w:before="100" w:after="100"/>
              <w:rPr>
                <w:rFonts w:ascii="Times New Roman" w:hAnsi="Times New Roman"/>
              </w:rPr>
            </w:pPr>
            <w:r>
              <w:rPr/>
              <w:t>This is a major evidence gap.</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 Failure of Soundness – Not Justified (NPPF §31, §35)</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3.1 No proportionate evidence</w:t>
            </w:r>
          </w:p>
          <w:p>
            <w:pPr>
              <w:pStyle w:val="NormalWeb"/>
              <w:bidi w:val="0"/>
              <w:spacing w:before="100" w:after="100"/>
              <w:rPr>
                <w:rFonts w:ascii="Times New Roman" w:hAnsi="Times New Roman"/>
              </w:rPr>
            </w:pPr>
            <w:r>
              <w:rPr/>
              <w:t xml:space="preserve">HELAA 355 is a </w:t>
            </w:r>
            <w:r>
              <w:rPr>
                <w:rStyle w:val="Strong"/>
                <w:lang w:val="en-GB" w:eastAsia="en-GB" w:bidi="ar-SA"/>
              </w:rPr>
              <w:t>large solar farm</w:t>
            </w:r>
            <w:r>
              <w:rPr/>
              <w:t xml:space="preserve"> inside the LMA area. Yet the SWLP provides:</w:t>
            </w:r>
          </w:p>
          <w:p>
            <w:pPr>
              <w:pStyle w:val="NormalWeb"/>
              <w:numPr>
                <w:ilvl w:val="0"/>
                <w:numId w:val="6"/>
              </w:numPr>
              <w:tabs>
                <w:tab w:val="left" w:pos="720" w:leader="none"/>
              </w:tabs>
              <w:bidi w:val="0"/>
              <w:spacing w:before="100" w:after="100"/>
              <w:ind w:hanging="360" w:left="720" w:right="0"/>
              <w:rPr>
                <w:rFonts w:ascii="Times New Roman" w:hAnsi="Times New Roman"/>
              </w:rPr>
            </w:pPr>
            <w:r>
              <w:rPr/>
              <w:t xml:space="preserve">no </w:t>
            </w:r>
            <w:r>
              <w:rPr/>
              <w:t xml:space="preserve">detailed </w:t>
            </w:r>
            <w:r>
              <w:rPr/>
              <w:t>mapping,</w:t>
            </w:r>
          </w:p>
          <w:p>
            <w:pPr>
              <w:pStyle w:val="NormalWeb"/>
              <w:numPr>
                <w:ilvl w:val="0"/>
                <w:numId w:val="6"/>
              </w:numPr>
              <w:tabs>
                <w:tab w:val="left" w:pos="720" w:leader="none"/>
              </w:tabs>
              <w:bidi w:val="0"/>
              <w:spacing w:before="100" w:after="100"/>
              <w:ind w:hanging="360" w:left="720" w:right="0"/>
              <w:rPr>
                <w:rFonts w:ascii="Times New Roman" w:hAnsi="Times New Roman"/>
              </w:rPr>
            </w:pPr>
            <w:r>
              <w:rPr/>
              <w:t>no constraints analysis,</w:t>
            </w:r>
          </w:p>
          <w:p>
            <w:pPr>
              <w:pStyle w:val="NormalWeb"/>
              <w:numPr>
                <w:ilvl w:val="0"/>
                <w:numId w:val="6"/>
              </w:numPr>
              <w:tabs>
                <w:tab w:val="left" w:pos="720" w:leader="none"/>
              </w:tabs>
              <w:bidi w:val="0"/>
              <w:spacing w:before="100" w:after="100"/>
              <w:ind w:hanging="360" w:left="720" w:right="0"/>
              <w:rPr>
                <w:rFonts w:ascii="Times New Roman" w:hAnsi="Times New Roman"/>
              </w:rPr>
            </w:pPr>
            <w:r>
              <w:rPr/>
              <w:t>no masterplanning impact assessment.</w:t>
            </w:r>
          </w:p>
          <w:p>
            <w:pPr>
              <w:pStyle w:val="NormalWeb"/>
              <w:bidi w:val="0"/>
              <w:spacing w:before="100" w:after="100"/>
              <w:rPr>
                <w:rFonts w:ascii="Times New Roman" w:hAnsi="Times New Roman"/>
              </w:rPr>
            </w:pPr>
            <w:r>
              <w:rPr/>
              <w:t>This is a breach of NPPF §31 (proportionate evidence).</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 xml:space="preserve">3.2 No justification for </w:t>
            </w:r>
            <w:r>
              <w:rPr>
                <w:rStyle w:val="Strong"/>
                <w:rFonts w:ascii="Times New Roman" w:hAnsi="Times New Roman"/>
                <w:b w:val="false"/>
                <w:bCs w:val="false"/>
                <w:lang w:val="en-GB" w:eastAsia="en-GB" w:bidi="ar-SA"/>
              </w:rPr>
              <w:t>Southward</w:t>
            </w:r>
            <w:r>
              <w:rPr>
                <w:rStyle w:val="Strong"/>
                <w:rFonts w:ascii="Times New Roman" w:hAnsi="Times New Roman"/>
                <w:b w:val="false"/>
                <w:bCs w:val="false"/>
                <w:lang w:val="en-GB" w:eastAsia="en-GB" w:bidi="ar-SA"/>
              </w:rPr>
              <w:t xml:space="preserve"> expansion</w:t>
            </w:r>
          </w:p>
          <w:p>
            <w:pPr>
              <w:pStyle w:val="NormalWeb"/>
              <w:bidi w:val="0"/>
              <w:spacing w:before="100" w:after="100"/>
              <w:rPr>
                <w:rFonts w:ascii="Times New Roman" w:hAnsi="Times New Roman"/>
              </w:rPr>
            </w:pPr>
            <w:r>
              <w:rPr/>
              <w:t xml:space="preserve">The solar farm blocks part of the settlement, pushing it Southwards. The Council provides </w:t>
            </w:r>
            <w:r>
              <w:rPr>
                <w:rStyle w:val="Strong"/>
                <w:lang w:val="en-GB" w:eastAsia="en-GB" w:bidi="ar-SA"/>
              </w:rPr>
              <w:t>no justification</w:t>
            </w:r>
            <w:r>
              <w:rPr/>
              <w:t xml:space="preserve"> for:</w:t>
            </w:r>
          </w:p>
          <w:p>
            <w:pPr>
              <w:pStyle w:val="NormalWeb"/>
              <w:numPr>
                <w:ilvl w:val="0"/>
                <w:numId w:val="7"/>
              </w:numPr>
              <w:tabs>
                <w:tab w:val="left" w:pos="720" w:leader="none"/>
              </w:tabs>
              <w:bidi w:val="0"/>
              <w:spacing w:before="100" w:after="100"/>
              <w:ind w:hanging="360" w:left="720" w:right="0"/>
              <w:rPr>
                <w:rFonts w:ascii="Times New Roman" w:hAnsi="Times New Roman"/>
              </w:rPr>
            </w:pPr>
            <w:r>
              <w:rPr/>
              <w:t>increased proximity to Long Marston village,</w:t>
            </w:r>
          </w:p>
          <w:p>
            <w:pPr>
              <w:pStyle w:val="NormalWeb"/>
              <w:numPr>
                <w:ilvl w:val="0"/>
                <w:numId w:val="7"/>
              </w:numPr>
              <w:tabs>
                <w:tab w:val="left" w:pos="720" w:leader="none"/>
              </w:tabs>
              <w:bidi w:val="0"/>
              <w:spacing w:before="100" w:after="100"/>
              <w:ind w:hanging="360" w:left="720" w:right="0"/>
              <w:rPr>
                <w:rFonts w:ascii="Times New Roman" w:hAnsi="Times New Roman"/>
              </w:rPr>
            </w:pPr>
            <w:r>
              <w:rPr/>
              <w:t>increased proximity to Meon Vale,</w:t>
            </w:r>
          </w:p>
          <w:p>
            <w:pPr>
              <w:pStyle w:val="NormalWeb"/>
              <w:numPr>
                <w:ilvl w:val="0"/>
                <w:numId w:val="7"/>
              </w:numPr>
              <w:tabs>
                <w:tab w:val="left" w:pos="720" w:leader="none"/>
              </w:tabs>
              <w:bidi w:val="0"/>
              <w:spacing w:before="100" w:after="100"/>
              <w:ind w:hanging="360" w:left="720" w:right="0"/>
              <w:rPr>
                <w:rFonts w:ascii="Times New Roman" w:hAnsi="Times New Roman"/>
              </w:rPr>
            </w:pPr>
            <w:r>
              <w:rPr/>
              <w:t>increased landscape sensitivity,</w:t>
            </w:r>
          </w:p>
          <w:p>
            <w:pPr>
              <w:pStyle w:val="NormalWeb"/>
              <w:numPr>
                <w:ilvl w:val="0"/>
                <w:numId w:val="7"/>
              </w:numPr>
              <w:tabs>
                <w:tab w:val="left" w:pos="720" w:leader="none"/>
              </w:tabs>
              <w:bidi w:val="0"/>
              <w:spacing w:before="100" w:after="100"/>
              <w:ind w:hanging="360" w:left="720" w:right="0"/>
              <w:rPr>
                <w:rFonts w:ascii="Times New Roman" w:hAnsi="Times New Roman"/>
              </w:rPr>
            </w:pPr>
            <w:r>
              <w:rPr/>
              <w:t>increased coalescence risk.</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 Failure of Soundness – Not Effective (NPPF §35)</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4.1 Masterplanning distortion</w:t>
            </w:r>
          </w:p>
          <w:p>
            <w:pPr>
              <w:pStyle w:val="NormalWeb"/>
              <w:bidi w:val="0"/>
              <w:spacing w:before="100" w:after="100"/>
              <w:rPr>
                <w:rFonts w:ascii="Times New Roman" w:hAnsi="Times New Roman"/>
              </w:rPr>
            </w:pPr>
            <w:r>
              <w:rPr/>
              <w:t>A town</w:t>
              <w:noBreakHyphen/>
              <w:t>scale settlement cannot be planned effectively when:</w:t>
            </w:r>
          </w:p>
          <w:p>
            <w:pPr>
              <w:pStyle w:val="NormalWeb"/>
              <w:numPr>
                <w:ilvl w:val="0"/>
                <w:numId w:val="8"/>
              </w:numPr>
              <w:tabs>
                <w:tab w:val="left" w:pos="720" w:leader="none"/>
              </w:tabs>
              <w:bidi w:val="0"/>
              <w:spacing w:before="100" w:after="100"/>
              <w:ind w:hanging="360" w:left="720" w:right="0"/>
              <w:rPr>
                <w:rFonts w:ascii="Times New Roman" w:hAnsi="Times New Roman"/>
              </w:rPr>
            </w:pPr>
            <w:r>
              <w:rPr/>
              <w:t>a major part of the site is already occupied,</w:t>
            </w:r>
          </w:p>
          <w:p>
            <w:pPr>
              <w:pStyle w:val="NormalWeb"/>
              <w:numPr>
                <w:ilvl w:val="0"/>
                <w:numId w:val="8"/>
              </w:numPr>
              <w:tabs>
                <w:tab w:val="left" w:pos="720" w:leader="none"/>
              </w:tabs>
              <w:bidi w:val="0"/>
              <w:spacing w:before="100" w:after="100"/>
              <w:ind w:hanging="360" w:left="720" w:right="0"/>
              <w:rPr>
                <w:rFonts w:ascii="Times New Roman" w:hAnsi="Times New Roman"/>
              </w:rPr>
            </w:pPr>
            <w:r>
              <w:rPr/>
              <w:t>access routes must bend around a solar farm,</w:t>
            </w:r>
          </w:p>
          <w:p>
            <w:pPr>
              <w:pStyle w:val="NormalWeb"/>
              <w:numPr>
                <w:ilvl w:val="0"/>
                <w:numId w:val="8"/>
              </w:numPr>
              <w:tabs>
                <w:tab w:val="left" w:pos="720" w:leader="none"/>
              </w:tabs>
              <w:bidi w:val="0"/>
              <w:spacing w:before="100" w:after="100"/>
              <w:ind w:hanging="360" w:left="720" w:right="0"/>
              <w:rPr>
                <w:rFonts w:ascii="Times New Roman" w:hAnsi="Times New Roman"/>
              </w:rPr>
            </w:pPr>
            <w:r>
              <w:rPr/>
              <w:t xml:space="preserve">development parcels are already occupied by the solar farm </w:t>
            </w:r>
          </w:p>
          <w:p>
            <w:pPr>
              <w:pStyle w:val="NormalWeb"/>
              <w:numPr>
                <w:ilvl w:val="0"/>
                <w:numId w:val="8"/>
              </w:numPr>
              <w:tabs>
                <w:tab w:val="left" w:pos="720" w:leader="none"/>
              </w:tabs>
              <w:bidi w:val="0"/>
              <w:spacing w:before="100" w:after="100"/>
              <w:ind w:hanging="360" w:left="720" w:right="0"/>
              <w:rPr>
                <w:rFonts w:ascii="Times New Roman" w:hAnsi="Times New Roman"/>
              </w:rPr>
            </w:pPr>
            <w:r>
              <w:rPr/>
              <w:t>infrastructure corridors become constrained.</w:t>
            </w:r>
          </w:p>
          <w:p>
            <w:pPr>
              <w:pStyle w:val="NormalWeb"/>
              <w:bidi w:val="0"/>
              <w:spacing w:before="100" w:after="100"/>
              <w:rPr>
                <w:rFonts w:ascii="Times New Roman" w:hAnsi="Times New Roman"/>
              </w:rPr>
            </w:pPr>
            <w:r>
              <w:rPr/>
              <w:t xml:space="preserve">The plan is </w:t>
            </w:r>
            <w:r>
              <w:rPr>
                <w:rStyle w:val="Strong"/>
                <w:lang w:val="en-GB" w:eastAsia="en-GB" w:bidi="ar-SA"/>
              </w:rPr>
              <w:t>not effective</w:t>
            </w:r>
            <w:r>
              <w:rPr/>
              <w: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4.2 Coalescence risk</w:t>
            </w:r>
          </w:p>
          <w:p>
            <w:pPr>
              <w:pStyle w:val="NormalWeb"/>
              <w:bidi w:val="0"/>
              <w:spacing w:before="100" w:after="100"/>
              <w:rPr>
                <w:rFonts w:ascii="Times New Roman" w:hAnsi="Times New Roman"/>
              </w:rPr>
            </w:pPr>
            <w:r>
              <w:rPr/>
              <w:t>By forcing development Southwards, HELAA 355 increases the risk of:</w:t>
            </w:r>
          </w:p>
          <w:p>
            <w:pPr>
              <w:pStyle w:val="NormalWeb"/>
              <w:numPr>
                <w:ilvl w:val="0"/>
                <w:numId w:val="9"/>
              </w:numPr>
              <w:tabs>
                <w:tab w:val="left" w:pos="720" w:leader="none"/>
              </w:tabs>
              <w:bidi w:val="0"/>
              <w:spacing w:before="100" w:after="100"/>
              <w:ind w:hanging="360" w:left="720" w:right="0"/>
              <w:rPr>
                <w:rFonts w:ascii="Times New Roman" w:hAnsi="Times New Roman"/>
              </w:rPr>
            </w:pPr>
            <w:r>
              <w:rPr>
                <w:rStyle w:val="Strong"/>
                <w:lang w:val="en-GB" w:eastAsia="en-GB" w:bidi="ar-SA"/>
              </w:rPr>
              <w:t>coalescence with Long Marston village</w:t>
            </w:r>
            <w:r>
              <w:rPr/>
              <w:t>,</w:t>
            </w:r>
          </w:p>
          <w:p>
            <w:pPr>
              <w:pStyle w:val="NormalWeb"/>
              <w:numPr>
                <w:ilvl w:val="0"/>
                <w:numId w:val="9"/>
              </w:numPr>
              <w:tabs>
                <w:tab w:val="left" w:pos="720" w:leader="none"/>
              </w:tabs>
              <w:bidi w:val="0"/>
              <w:spacing w:before="100" w:after="100"/>
              <w:ind w:hanging="360" w:left="720" w:right="0"/>
              <w:rPr>
                <w:rFonts w:ascii="Times New Roman" w:hAnsi="Times New Roman"/>
              </w:rPr>
            </w:pPr>
            <w:r>
              <w:rPr>
                <w:rStyle w:val="Strong"/>
                <w:lang w:val="en-GB" w:eastAsia="en-GB" w:bidi="ar-SA"/>
              </w:rPr>
              <w:t>coalescence with Meon Vale</w:t>
            </w:r>
            <w:r>
              <w:rPr/>
              <w:t>,</w:t>
            </w:r>
          </w:p>
          <w:p>
            <w:pPr>
              <w:pStyle w:val="NormalWeb"/>
              <w:numPr>
                <w:ilvl w:val="0"/>
                <w:numId w:val="9"/>
              </w:numPr>
              <w:tabs>
                <w:tab w:val="left" w:pos="720" w:leader="none"/>
              </w:tabs>
              <w:bidi w:val="0"/>
              <w:spacing w:before="100" w:after="100"/>
              <w:ind w:hanging="360" w:left="720" w:right="0"/>
              <w:rPr>
                <w:rFonts w:ascii="Times New Roman" w:hAnsi="Times New Roman"/>
              </w:rPr>
            </w:pPr>
            <w:r>
              <w:rPr>
                <w:rStyle w:val="Strong"/>
                <w:lang w:val="en-GB" w:eastAsia="en-GB" w:bidi="ar-SA"/>
              </w:rPr>
              <w:t>loss of rural separation</w:t>
            </w:r>
            <w:r>
              <w:rPr/>
              <w:t>,</w:t>
            </w:r>
          </w:p>
          <w:p>
            <w:pPr>
              <w:pStyle w:val="NormalWeb"/>
              <w:numPr>
                <w:ilvl w:val="0"/>
                <w:numId w:val="9"/>
              </w:numPr>
              <w:tabs>
                <w:tab w:val="left" w:pos="720" w:leader="none"/>
              </w:tabs>
              <w:bidi w:val="0"/>
              <w:spacing w:before="100" w:after="100"/>
              <w:ind w:hanging="360" w:left="720" w:right="0"/>
              <w:rPr>
                <w:rFonts w:ascii="Times New Roman" w:hAnsi="Times New Roman"/>
              </w:rPr>
            </w:pPr>
            <w:r>
              <w:rPr>
                <w:rStyle w:val="Strong"/>
                <w:lang w:val="en-GB" w:eastAsia="en-GB" w:bidi="ar-SA"/>
              </w:rPr>
              <w:t>loss of settlement identity</w:t>
            </w:r>
            <w:r>
              <w:rPr/>
              <w:t>.</w:t>
            </w:r>
          </w:p>
          <w:p>
            <w:pPr>
              <w:pStyle w:val="NormalWeb"/>
              <w:bidi w:val="0"/>
              <w:spacing w:before="100" w:after="100"/>
              <w:rPr>
                <w:rFonts w:ascii="Times New Roman" w:hAnsi="Times New Roman"/>
              </w:rPr>
            </w:pPr>
            <w:r>
              <w:rPr/>
              <w:t xml:space="preserve">The SWLP provides </w:t>
            </w:r>
            <w:r>
              <w:rPr>
                <w:rStyle w:val="Strong"/>
                <w:lang w:val="en-GB" w:eastAsia="en-GB" w:bidi="ar-SA"/>
              </w:rPr>
              <w:t>no mitigation</w:t>
            </w:r>
            <w:r>
              <w:rPr/>
              <w:t>.</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 Failure of Soundness – Not Consistent with National Policy (NPPF §127, §176–177)</w:t>
            </w:r>
          </w:p>
          <w:p>
            <w:pPr>
              <w:pStyle w:val="NormalWeb"/>
              <w:bidi w:val="0"/>
              <w:spacing w:before="100" w:after="100"/>
              <w:rPr>
                <w:rFonts w:ascii="Times New Roman" w:hAnsi="Times New Roman"/>
              </w:rPr>
            </w:pPr>
            <w:r>
              <w:rPr/>
              <w:t>NPPF requires:</w:t>
            </w:r>
          </w:p>
          <w:p>
            <w:pPr>
              <w:pStyle w:val="NormalWeb"/>
              <w:numPr>
                <w:ilvl w:val="0"/>
                <w:numId w:val="10"/>
              </w:numPr>
              <w:tabs>
                <w:tab w:val="left" w:pos="720" w:leader="none"/>
              </w:tabs>
              <w:bidi w:val="0"/>
              <w:spacing w:before="100" w:after="100"/>
              <w:ind w:hanging="360" w:left="720" w:right="0"/>
              <w:rPr>
                <w:rFonts w:ascii="Times New Roman" w:hAnsi="Times New Roman"/>
              </w:rPr>
            </w:pPr>
            <w:r>
              <w:rPr/>
              <w:t>protection of settlement identity (§127),</w:t>
            </w:r>
          </w:p>
          <w:p>
            <w:pPr>
              <w:pStyle w:val="NormalWeb"/>
              <w:numPr>
                <w:ilvl w:val="0"/>
                <w:numId w:val="10"/>
              </w:numPr>
              <w:tabs>
                <w:tab w:val="left" w:pos="720" w:leader="none"/>
              </w:tabs>
              <w:bidi w:val="0"/>
              <w:spacing w:before="100" w:after="100"/>
              <w:ind w:hanging="360" w:left="720" w:right="0"/>
              <w:rPr>
                <w:rFonts w:ascii="Times New Roman" w:hAnsi="Times New Roman"/>
              </w:rPr>
            </w:pPr>
            <w:r>
              <w:rPr/>
              <w:t>avoidance of coalescence (§127),</w:t>
            </w:r>
          </w:p>
          <w:p>
            <w:pPr>
              <w:pStyle w:val="NormalWeb"/>
              <w:numPr>
                <w:ilvl w:val="0"/>
                <w:numId w:val="10"/>
              </w:numPr>
              <w:tabs>
                <w:tab w:val="left" w:pos="720" w:leader="none"/>
              </w:tabs>
              <w:bidi w:val="0"/>
              <w:spacing w:before="100" w:after="100"/>
              <w:ind w:hanging="360" w:left="720" w:right="0"/>
              <w:rPr>
                <w:rFonts w:ascii="Times New Roman" w:hAnsi="Times New Roman"/>
              </w:rPr>
            </w:pPr>
            <w:r>
              <w:rPr/>
              <w:t>great weight to conserving AONB setting (§176–177).</w:t>
            </w:r>
          </w:p>
          <w:p>
            <w:pPr>
              <w:pStyle w:val="NormalWeb"/>
              <w:bidi w:val="0"/>
              <w:spacing w:before="100" w:after="100"/>
              <w:rPr>
                <w:rFonts w:ascii="Times New Roman" w:hAnsi="Times New Roman"/>
              </w:rPr>
            </w:pPr>
            <w:r>
              <w:rPr/>
              <w:t>By ignoring HELAA 355, the SWLP:</w:t>
            </w:r>
          </w:p>
          <w:p>
            <w:pPr>
              <w:pStyle w:val="NormalWeb"/>
              <w:numPr>
                <w:ilvl w:val="0"/>
                <w:numId w:val="11"/>
              </w:numPr>
              <w:tabs>
                <w:tab w:val="left" w:pos="720" w:leader="none"/>
              </w:tabs>
              <w:bidi w:val="0"/>
              <w:spacing w:before="100" w:after="100"/>
              <w:ind w:hanging="360" w:left="720" w:right="0"/>
              <w:rPr>
                <w:rFonts w:ascii="Times New Roman" w:hAnsi="Times New Roman"/>
              </w:rPr>
            </w:pPr>
            <w:r>
              <w:rPr/>
              <w:t>pushes development into sensitive landscape areas,</w:t>
            </w:r>
          </w:p>
          <w:p>
            <w:pPr>
              <w:pStyle w:val="NormalWeb"/>
              <w:numPr>
                <w:ilvl w:val="0"/>
                <w:numId w:val="11"/>
              </w:numPr>
              <w:tabs>
                <w:tab w:val="left" w:pos="720" w:leader="none"/>
              </w:tabs>
              <w:bidi w:val="0"/>
              <w:spacing w:before="100" w:after="100"/>
              <w:ind w:hanging="360" w:left="720" w:right="0"/>
              <w:rPr>
                <w:rFonts w:ascii="Times New Roman" w:hAnsi="Times New Roman"/>
              </w:rPr>
            </w:pPr>
            <w:r>
              <w:rPr/>
              <w:t>increases visibility from Cotswolds escarpment viewpoints,</w:t>
            </w:r>
          </w:p>
          <w:p>
            <w:pPr>
              <w:pStyle w:val="NormalWeb"/>
              <w:numPr>
                <w:ilvl w:val="0"/>
                <w:numId w:val="11"/>
              </w:numPr>
              <w:tabs>
                <w:tab w:val="left" w:pos="720" w:leader="none"/>
              </w:tabs>
              <w:bidi w:val="0"/>
              <w:spacing w:before="100" w:after="100"/>
              <w:ind w:hanging="360" w:left="720" w:right="0"/>
              <w:rPr>
                <w:rFonts w:ascii="Times New Roman" w:hAnsi="Times New Roman"/>
              </w:rPr>
            </w:pPr>
            <w:r>
              <w:rPr/>
              <w:t>intensifies cumulative landscape harm,</w:t>
            </w:r>
          </w:p>
          <w:p>
            <w:pPr>
              <w:pStyle w:val="NormalWeb"/>
              <w:numPr>
                <w:ilvl w:val="0"/>
                <w:numId w:val="11"/>
              </w:numPr>
              <w:tabs>
                <w:tab w:val="left" w:pos="720" w:leader="none"/>
              </w:tabs>
              <w:bidi w:val="0"/>
              <w:spacing w:before="100" w:after="100"/>
              <w:ind w:hanging="360" w:left="720" w:right="0"/>
              <w:rPr>
                <w:rFonts w:ascii="Times New Roman" w:hAnsi="Times New Roman"/>
              </w:rPr>
            </w:pPr>
            <w:r>
              <w:rPr/>
              <w:t>undermines rural character.</w:t>
            </w:r>
          </w:p>
          <w:p>
            <w:pPr>
              <w:pStyle w:val="NormalWeb"/>
              <w:bidi w:val="0"/>
              <w:spacing w:before="100" w:after="100"/>
              <w:rPr>
                <w:rFonts w:ascii="Times New Roman" w:hAnsi="Times New Roman"/>
              </w:rPr>
            </w:pPr>
            <w:r>
              <w:rPr/>
              <w:t>This is a direct conflict with national policy.</w:t>
            </w:r>
          </w:p>
          <w:p>
            <w:pPr>
              <w:pStyle w:val="Normal"/>
              <w:bidi w:val="0"/>
              <w:ind w:hanging="0" w:left="0" w:right="0"/>
              <w:rPr>
                <w:rFonts w:ascii="Times New Roman" w:hAnsi="Times New Roman"/>
              </w:rPr>
            </w:pPr>
            <w:r>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 Requested Modifications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1 — Map HELAA 355 and assess its impact</w:t>
            </w:r>
          </w:p>
          <w:p>
            <w:pPr>
              <w:pStyle w:val="NormalWeb"/>
              <w:bidi w:val="0"/>
              <w:spacing w:before="100" w:after="100"/>
              <w:rPr>
                <w:rFonts w:ascii="Times New Roman" w:hAnsi="Times New Roman"/>
              </w:rPr>
            </w:pPr>
            <w:r>
              <w:rPr/>
              <w:t>The Council must publish:</w:t>
            </w:r>
          </w:p>
          <w:p>
            <w:pPr>
              <w:pStyle w:val="NormalWeb"/>
              <w:numPr>
                <w:ilvl w:val="0"/>
                <w:numId w:val="13"/>
              </w:numPr>
              <w:tabs>
                <w:tab w:val="left" w:pos="720" w:leader="none"/>
              </w:tabs>
              <w:bidi w:val="0"/>
              <w:spacing w:before="100" w:after="100"/>
              <w:rPr/>
            </w:pPr>
            <w:r>
              <w:rPr/>
              <w:t xml:space="preserve">a </w:t>
            </w:r>
            <w:r>
              <w:rPr/>
              <w:t>detailed</w:t>
            </w:r>
            <w:r>
              <w:rPr/>
              <w:t xml:space="preserve"> constraints map,</w:t>
            </w:r>
          </w:p>
          <w:p>
            <w:pPr>
              <w:pStyle w:val="NormalWeb"/>
              <w:numPr>
                <w:ilvl w:val="0"/>
                <w:numId w:val="13"/>
              </w:numPr>
              <w:tabs>
                <w:tab w:val="left" w:pos="720" w:leader="none"/>
              </w:tabs>
              <w:bidi w:val="0"/>
              <w:spacing w:before="100" w:after="100"/>
              <w:rPr/>
            </w:pPr>
            <w:r>
              <w:rPr/>
              <w:t>a masterplanning impact study,</w:t>
            </w:r>
          </w:p>
          <w:p>
            <w:pPr>
              <w:pStyle w:val="NormalWeb"/>
              <w:numPr>
                <w:ilvl w:val="0"/>
                <w:numId w:val="13"/>
              </w:numPr>
              <w:tabs>
                <w:tab w:val="left" w:pos="720" w:leader="none"/>
              </w:tabs>
              <w:bidi w:val="0"/>
              <w:spacing w:before="100" w:after="100"/>
              <w:rPr/>
            </w:pPr>
            <w:r>
              <w:rPr/>
              <w:t>a coalescence risk assessment,</w:t>
            </w:r>
          </w:p>
          <w:p>
            <w:pPr>
              <w:pStyle w:val="NormalWeb"/>
              <w:numPr>
                <w:ilvl w:val="0"/>
                <w:numId w:val="13"/>
              </w:numPr>
              <w:tabs>
                <w:tab w:val="left" w:pos="720" w:leader="none"/>
              </w:tabs>
              <w:bidi w:val="0"/>
              <w:spacing w:before="100" w:after="100"/>
              <w:rPr>
                <w:rFonts w:ascii="Times New Roman" w:hAnsi="Times New Roman"/>
              </w:rPr>
            </w:pPr>
            <w:r>
              <w:rPr/>
              <w:t>a landscape sensitivity analysis.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2 — Re</w:t>
              <w:noBreakHyphen/>
              <w:t>shape the LMA masterplan</w:t>
            </w:r>
          </w:p>
          <w:p>
            <w:pPr>
              <w:pStyle w:val="NormalWeb"/>
              <w:bidi w:val="0"/>
              <w:spacing w:before="100" w:after="100"/>
              <w:rPr>
                <w:rFonts w:ascii="Times New Roman" w:hAnsi="Times New Roman"/>
              </w:rPr>
            </w:pPr>
            <w:r>
              <w:rPr/>
              <w:t>The masterplan must:</w:t>
            </w:r>
          </w:p>
          <w:p>
            <w:pPr>
              <w:pStyle w:val="NormalWeb"/>
              <w:numPr>
                <w:ilvl w:val="0"/>
                <w:numId w:val="14"/>
              </w:numPr>
              <w:tabs>
                <w:tab w:val="left" w:pos="720" w:leader="none"/>
              </w:tabs>
              <w:bidi w:val="0"/>
              <w:spacing w:before="100" w:after="100"/>
              <w:rPr/>
            </w:pPr>
            <w:r>
              <w:rPr/>
              <w:t>avoid Southward compression,</w:t>
            </w:r>
          </w:p>
          <w:p>
            <w:pPr>
              <w:pStyle w:val="NormalWeb"/>
              <w:numPr>
                <w:ilvl w:val="0"/>
                <w:numId w:val="14"/>
              </w:numPr>
              <w:tabs>
                <w:tab w:val="left" w:pos="720" w:leader="none"/>
              </w:tabs>
              <w:bidi w:val="0"/>
              <w:spacing w:before="100" w:after="100"/>
              <w:rPr/>
            </w:pPr>
            <w:r>
              <w:rPr/>
              <w:t>maintain rural separation,</w:t>
            </w:r>
          </w:p>
          <w:p>
            <w:pPr>
              <w:pStyle w:val="NormalWeb"/>
              <w:numPr>
                <w:ilvl w:val="0"/>
                <w:numId w:val="14"/>
              </w:numPr>
              <w:tabs>
                <w:tab w:val="left" w:pos="720" w:leader="none"/>
              </w:tabs>
              <w:bidi w:val="0"/>
              <w:spacing w:before="100" w:after="100"/>
              <w:rPr/>
            </w:pPr>
            <w:r>
              <w:rPr/>
              <w:t>protect landscape sensitivity,</w:t>
            </w:r>
          </w:p>
          <w:p>
            <w:pPr>
              <w:pStyle w:val="NormalWeb"/>
              <w:numPr>
                <w:ilvl w:val="0"/>
                <w:numId w:val="14"/>
              </w:numPr>
              <w:tabs>
                <w:tab w:val="left" w:pos="720" w:leader="none"/>
              </w:tabs>
              <w:bidi w:val="0"/>
              <w:spacing w:before="100" w:after="100"/>
              <w:rPr>
                <w:rFonts w:ascii="Times New Roman" w:hAnsi="Times New Roman"/>
              </w:rPr>
            </w:pPr>
            <w:r>
              <w:rPr/>
              <w:t>provide realistic access routes.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3 — Reassess the scale of LMA</w:t>
            </w:r>
          </w:p>
          <w:p>
            <w:pPr>
              <w:pStyle w:val="NormalWeb"/>
              <w:bidi w:val="0"/>
              <w:spacing w:before="100" w:after="100"/>
              <w:rPr>
                <w:rFonts w:ascii="Times New Roman" w:hAnsi="Times New Roman"/>
              </w:rPr>
            </w:pPr>
            <w:r>
              <w:rPr/>
              <w:t>If HELAA 355 prevents a sound masterplan, the allocation must be:</w:t>
            </w:r>
          </w:p>
          <w:p>
            <w:pPr>
              <w:pStyle w:val="NormalWeb"/>
              <w:numPr>
                <w:ilvl w:val="0"/>
                <w:numId w:val="4"/>
              </w:numPr>
              <w:tabs>
                <w:tab w:val="left" w:pos="720" w:leader="none"/>
              </w:tabs>
              <w:bidi w:val="0"/>
              <w:spacing w:before="100" w:after="100"/>
              <w:ind w:hanging="360" w:left="720" w:right="0"/>
              <w:rPr>
                <w:rFonts w:ascii="Times New Roman" w:hAnsi="Times New Roman"/>
              </w:rPr>
            </w:pPr>
            <w:r>
              <w:rPr/>
              <w:t>reduced,</w:t>
            </w:r>
          </w:p>
          <w:p>
            <w:pPr>
              <w:pStyle w:val="NormalWeb"/>
              <w:numPr>
                <w:ilvl w:val="0"/>
                <w:numId w:val="4"/>
              </w:numPr>
              <w:tabs>
                <w:tab w:val="left" w:pos="720" w:leader="none"/>
              </w:tabs>
              <w:bidi w:val="0"/>
              <w:spacing w:before="100" w:after="100"/>
              <w:ind w:hanging="360" w:left="720" w:right="0"/>
              <w:rPr>
                <w:rFonts w:ascii="Times New Roman" w:hAnsi="Times New Roman"/>
              </w:rPr>
            </w:pPr>
            <w:r>
              <w:rPr/>
              <w:t>rephased,</w:t>
            </w:r>
          </w:p>
          <w:p>
            <w:pPr>
              <w:pStyle w:val="NormalWeb"/>
              <w:numPr>
                <w:ilvl w:val="0"/>
                <w:numId w:val="4"/>
              </w:numPr>
              <w:tabs>
                <w:tab w:val="left" w:pos="720" w:leader="none"/>
              </w:tabs>
              <w:bidi w:val="0"/>
              <w:spacing w:before="100" w:after="100"/>
              <w:ind w:hanging="360" w:left="720" w:right="0"/>
              <w:rPr>
                <w:rFonts w:ascii="Times New Roman" w:hAnsi="Times New Roman"/>
              </w:rPr>
            </w:pPr>
            <w:r>
              <w:rPr/>
              <w:t>or replaced with less constrained alternatives.</w:t>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7. Conclusion</w:t>
            </w:r>
          </w:p>
          <w:p>
            <w:pPr>
              <w:pStyle w:val="NormalWeb"/>
              <w:bidi w:val="0"/>
              <w:spacing w:before="100" w:after="100"/>
              <w:rPr>
                <w:rFonts w:ascii="Times New Roman" w:hAnsi="Times New Roman"/>
              </w:rPr>
            </w:pPr>
            <w:r>
              <w:rPr/>
              <w:t xml:space="preserve">HELAA Site 355 (Long Marston Solar Farm) is a </w:t>
            </w:r>
            <w:r>
              <w:rPr>
                <w:rStyle w:val="Strong"/>
                <w:lang w:val="en-GB" w:eastAsia="en-GB" w:bidi="ar-SA"/>
              </w:rPr>
              <w:t>major physical constraint</w:t>
            </w:r>
            <w:r>
              <w:rPr/>
              <w:t xml:space="preserve"> inside the LMA area. Its presence </w:t>
            </w:r>
            <w:r>
              <w:rPr>
                <w:rStyle w:val="Strong"/>
                <w:lang w:val="en-GB" w:eastAsia="en-GB" w:bidi="ar-SA"/>
              </w:rPr>
              <w:t>forces the new settlement Southwards</w:t>
            </w:r>
            <w:r>
              <w:rPr/>
              <w:t>, increasing:</w:t>
            </w:r>
          </w:p>
          <w:p>
            <w:pPr>
              <w:pStyle w:val="NormalWeb"/>
              <w:numPr>
                <w:ilvl w:val="0"/>
                <w:numId w:val="5"/>
              </w:numPr>
              <w:tabs>
                <w:tab w:val="left" w:pos="720" w:leader="none"/>
              </w:tabs>
              <w:bidi w:val="0"/>
              <w:spacing w:before="100" w:after="100"/>
              <w:ind w:hanging="360" w:left="720" w:right="0"/>
              <w:rPr>
                <w:rFonts w:ascii="Times New Roman" w:hAnsi="Times New Roman"/>
              </w:rPr>
            </w:pPr>
            <w:r>
              <w:rPr/>
              <w:t xml:space="preserve">coalescence risk </w:t>
            </w:r>
            <w:r>
              <w:rPr/>
              <w:t>further South</w:t>
            </w:r>
            <w:r>
              <w:rPr/>
              <w:t>,</w:t>
            </w:r>
          </w:p>
          <w:p>
            <w:pPr>
              <w:pStyle w:val="NormalWeb"/>
              <w:numPr>
                <w:ilvl w:val="0"/>
                <w:numId w:val="5"/>
              </w:numPr>
              <w:tabs>
                <w:tab w:val="left" w:pos="720" w:leader="none"/>
              </w:tabs>
              <w:bidi w:val="0"/>
              <w:spacing w:before="100" w:after="100"/>
              <w:ind w:hanging="360" w:left="720" w:right="0"/>
              <w:rPr>
                <w:rFonts w:ascii="Times New Roman" w:hAnsi="Times New Roman"/>
              </w:rPr>
            </w:pPr>
            <w:r>
              <w:rPr/>
              <w:t>landscape harm,</w:t>
            </w:r>
          </w:p>
          <w:p>
            <w:pPr>
              <w:pStyle w:val="NormalWeb"/>
              <w:numPr>
                <w:ilvl w:val="0"/>
                <w:numId w:val="5"/>
              </w:numPr>
              <w:tabs>
                <w:tab w:val="left" w:pos="720" w:leader="none"/>
              </w:tabs>
              <w:bidi w:val="0"/>
              <w:spacing w:before="100" w:after="100"/>
              <w:ind w:hanging="360" w:left="720" w:right="0"/>
              <w:rPr>
                <w:rFonts w:ascii="Times New Roman" w:hAnsi="Times New Roman"/>
              </w:rPr>
            </w:pPr>
            <w:r>
              <w:rPr/>
              <w:t>AONB setting impacts,</w:t>
            </w:r>
          </w:p>
          <w:p>
            <w:pPr>
              <w:pStyle w:val="NormalWeb"/>
              <w:numPr>
                <w:ilvl w:val="0"/>
                <w:numId w:val="5"/>
              </w:numPr>
              <w:tabs>
                <w:tab w:val="left" w:pos="720" w:leader="none"/>
              </w:tabs>
              <w:bidi w:val="0"/>
              <w:spacing w:before="100" w:after="100"/>
              <w:ind w:hanging="360" w:left="720" w:right="0"/>
              <w:rPr>
                <w:rFonts w:ascii="Times New Roman" w:hAnsi="Times New Roman"/>
              </w:rPr>
            </w:pPr>
            <w:r>
              <w:rPr/>
              <w:t>masterplanning distortion.</w:t>
            </w:r>
          </w:p>
          <w:p>
            <w:pPr>
              <w:pStyle w:val="NormalWeb"/>
              <w:bidi w:val="0"/>
              <w:spacing w:before="100" w:after="100"/>
              <w:rPr>
                <w:rFonts w:ascii="Times New Roman" w:hAnsi="Times New Roman"/>
              </w:rPr>
            </w:pPr>
            <w:r>
              <w:rPr/>
              <w:t>The SWLP Reg 19 fails to assess this constraint, making the allocation:</w:t>
            </w:r>
          </w:p>
          <w:p>
            <w:pPr>
              <w:pStyle w:val="NormalWeb"/>
              <w:numPr>
                <w:ilvl w:val="0"/>
                <w:numId w:val="6"/>
              </w:numPr>
              <w:tabs>
                <w:tab w:val="left" w:pos="720" w:leader="none"/>
              </w:tabs>
              <w:bidi w:val="0"/>
              <w:spacing w:before="100" w:after="100"/>
              <w:ind w:hanging="360" w:left="720" w:right="0"/>
              <w:rPr>
                <w:rFonts w:ascii="Times New Roman" w:hAnsi="Times New Roman"/>
              </w:rPr>
            </w:pPr>
            <w:r>
              <w:rPr>
                <w:rStyle w:val="Strong"/>
                <w:lang w:val="en-GB" w:eastAsia="en-GB" w:bidi="ar-SA"/>
              </w:rPr>
              <w:t>Not Justified</w:t>
            </w:r>
            <w:r>
              <w:rPr/>
              <w:t>,</w:t>
            </w:r>
          </w:p>
          <w:p>
            <w:pPr>
              <w:pStyle w:val="NormalWeb"/>
              <w:numPr>
                <w:ilvl w:val="0"/>
                <w:numId w:val="6"/>
              </w:numPr>
              <w:tabs>
                <w:tab w:val="left" w:pos="720" w:leader="none"/>
              </w:tabs>
              <w:bidi w:val="0"/>
              <w:spacing w:before="100" w:after="100"/>
              <w:ind w:hanging="360" w:left="720" w:right="0"/>
              <w:rPr>
                <w:rFonts w:ascii="Times New Roman" w:hAnsi="Times New Roman"/>
              </w:rPr>
            </w:pPr>
            <w:r>
              <w:rPr>
                <w:rStyle w:val="Strong"/>
                <w:lang w:val="en-GB" w:eastAsia="en-GB" w:bidi="ar-SA"/>
              </w:rPr>
              <w:t>Not Effective</w:t>
            </w:r>
            <w:r>
              <w:rPr/>
              <w:t>,</w:t>
            </w:r>
          </w:p>
          <w:p>
            <w:pPr>
              <w:pStyle w:val="NormalWeb"/>
              <w:numPr>
                <w:ilvl w:val="0"/>
                <w:numId w:val="6"/>
              </w:numPr>
              <w:tabs>
                <w:tab w:val="left" w:pos="720" w:leader="none"/>
              </w:tabs>
              <w:bidi w:val="0"/>
              <w:spacing w:before="100" w:after="100"/>
              <w:ind w:hanging="360" w:left="720" w:right="0"/>
              <w:rPr>
                <w:rFonts w:ascii="Times New Roman" w:hAnsi="Times New Roman"/>
              </w:rPr>
            </w:pPr>
            <w:r>
              <w:rPr>
                <w:rStyle w:val="Strong"/>
                <w:lang w:val="en-GB" w:eastAsia="en-GB" w:bidi="ar-SA"/>
              </w:rPr>
              <w:t>Not Consistent with National Policy</w:t>
            </w:r>
            <w:r>
              <w:rPr/>
              <w:t>.</w:t>
            </w:r>
          </w:p>
          <w:p>
            <w:pPr>
              <w:pStyle w:val="NormalWeb"/>
              <w:bidi w:val="0"/>
              <w:spacing w:before="100" w:after="100"/>
              <w:rPr>
                <w:rFonts w:ascii="Times New Roman" w:hAnsi="Times New Roman"/>
              </w:rPr>
            </w:pPr>
            <w:r>
              <w:rPr/>
              <w:t>The requested modifications are essential to make the plan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pStyle w:val="Heading2"/>
      <w:suff w:val="nothing"/>
      <w:lvlText w:val=""/>
      <w:lvlJc w:val="left"/>
      <w:pPr>
        <w:tabs>
          <w:tab w:val="num" w:pos="0"/>
        </w:tabs>
        <w:ind w:left="0" w:hanging="0"/>
      </w:pPr>
    </w:lvl>
    <w:lvl w:ilvl="2">
      <w:start w:val="1"/>
      <w:numFmt w:val="none"/>
      <w:pStyle w:val="Heading3"/>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paragraph" w:styleId="NormalWeb">
    <w:name w:val="Normal (Web)"/>
    <w:basedOn w:val="Normal"/>
    <w:qFormat/>
    <w:pPr>
      <w:widowControl/>
      <w:spacing w:beforeAutospacing="1" w:afterAutospacing="1"/>
      <w:ind w:hanging="0" w:left="0" w:right="0"/>
      <w:jc w:val="left"/>
      <w:textAlignment w:val="auto"/>
    </w:pPr>
    <w:rPr>
      <w:rFonts w:cs="Times New Roman"/>
      <w:sz w:val="24"/>
      <w:szCs w:val="24"/>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Application>LibreOffice/26.2.5.2$Windows_X86_64 LibreOffice_project/cd7284b4cbbfeb507e630c1aac019f4157393acb</Application>
  <AppVersion>15.0000</AppVersion>
  <Pages>8</Pages>
  <Words>1559</Words>
  <Characters>8362</Characters>
  <CharactersWithSpaces>9705</CharactersWithSpaces>
  <Paragraphs>191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2026-08-28T15:28:41Z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