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Pr>
      <w:tblGrid>
        <w:gridCol w:w="2086"/>
        <w:gridCol w:w="75"/>
        <w:gridCol w:w="1631"/>
        <w:gridCol w:w="674"/>
        <w:gridCol w:w="711"/>
        <w:gridCol w:w="284"/>
        <w:gridCol w:w="285"/>
        <w:gridCol w:w="1924"/>
        <w:gridCol w:w="1107"/>
        <w:gridCol w:w="269"/>
      </w:tblGrid>
      <w:tr>
        <w:trPr>
          <w:trHeight w:val="1104" w:hRule="atLeast"/>
          <w:cantSplit/>
        </w:trPr>
        <w:tc>
          <w:tcPr>
            <w:tcW w:w="2161"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9"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1" w:type="dxa"/>
            <w:gridSpan w:val="2"/>
            <w:vMerge w:val="continue"/>
            <w:tcBorders/>
            <w:vAlign w:val="bottom"/>
          </w:tcPr>
          <w:p>
            <w:pPr>
              <w:pStyle w:val="Normal"/>
              <w:rPr/>
            </w:pPr>
            <w:r>
              <w:rPr/>
            </w:r>
          </w:p>
        </w:tc>
        <w:tc>
          <w:tcPr>
            <w:tcW w:w="5509" w:type="dxa"/>
            <w:gridSpan w:val="6"/>
            <w:vMerge w:val="continue"/>
            <w:tcBorders/>
            <w:vAlign w:val="center"/>
          </w:tcPr>
          <w:p>
            <w:pPr>
              <w:pStyle w:val="Normal"/>
              <w:rPr/>
            </w:pPr>
            <w:r>
              <w:rPr/>
            </w:r>
          </w:p>
        </w:tc>
        <w:tc>
          <w:tcPr>
            <w:tcW w:w="1376" w:type="dxa"/>
            <w:gridSpan w:val="2"/>
            <w:vMerge w:val="continue"/>
            <w:tcBorders/>
            <w:vAlign w:val="center"/>
          </w:tcPr>
          <w:p>
            <w:pPr>
              <w:pStyle w:val="Normal"/>
              <w:rPr/>
            </w:pPr>
            <w:r>
              <w:rPr/>
            </w:r>
          </w:p>
        </w:tc>
      </w:tr>
      <w:tr>
        <w:trPr>
          <w:trHeight w:val="276" w:hRule="atLeast"/>
          <w:cantSplit/>
        </w:trPr>
        <w:tc>
          <w:tcPr>
            <w:tcW w:w="2161" w:type="dxa"/>
            <w:gridSpan w:val="2"/>
            <w:vMerge w:val="continue"/>
            <w:tcBorders/>
            <w:vAlign w:val="bottom"/>
          </w:tcPr>
          <w:p>
            <w:pPr>
              <w:pStyle w:val="Normal"/>
              <w:rPr/>
            </w:pPr>
            <w:r>
              <w:rPr/>
            </w:r>
          </w:p>
        </w:tc>
        <w:tc>
          <w:tcPr>
            <w:tcW w:w="5509" w:type="dxa"/>
            <w:gridSpan w:val="6"/>
            <w:vMerge w:val="continue"/>
            <w:tcBorders/>
            <w:vAlign w:val="center"/>
          </w:tcPr>
          <w:p>
            <w:pPr>
              <w:pStyle w:val="Normal"/>
              <w:rPr/>
            </w:pPr>
            <w:r>
              <w:rPr/>
            </w:r>
          </w:p>
        </w:tc>
        <w:tc>
          <w:tcPr>
            <w:tcW w:w="1376" w:type="dxa"/>
            <w:gridSpan w:val="2"/>
            <w:vMerge w:val="continue"/>
            <w:tcBorders/>
            <w:vAlign w:val="center"/>
          </w:tcPr>
          <w:p>
            <w:pPr>
              <w:pStyle w:val="Normal"/>
              <w:rPr/>
            </w:pPr>
            <w:r>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2"/>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1"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2"/>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Fonts w:cs="Arial" w:ascii="Arial" w:hAnsi="Arial"/>
                <w:b/>
                <w:bCs/>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Fonts w:cs="Arial" w:ascii="Arial" w:hAnsi="Arial"/>
                <w:b/>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W w:w="8364" w:type="dxa"/>
        <w:jc w:val="left"/>
        <w:tblInd w:w="108" w:type="dxa"/>
        <w:tblLayout w:type="fixed"/>
        <w:tblCellMar>
          <w:top w:w="0" w:type="dxa"/>
          <w:left w:w="108" w:type="dxa"/>
          <w:bottom w:w="0" w:type="dxa"/>
          <w:right w:w="108" w:type="dxa"/>
        </w:tblCellMar>
      </w:tblPr>
      <w:tblGrid>
        <w:gridCol w:w="7508"/>
        <w:gridCol w:w="856"/>
      </w:tblGrid>
      <w:tr>
        <w:trPr/>
        <w:tc>
          <w:tcPr>
            <w:tcW w:w="7508" w:type="dxa"/>
            <w:tcBorders>
              <w:right w:val="single" w:sz="4" w:space="0" w:color="000000"/>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W w:w="8364" w:type="dxa"/>
        <w:jc w:val="left"/>
        <w:tblInd w:w="108" w:type="dxa"/>
        <w:tblLayout w:type="fixed"/>
        <w:tblCellMar>
          <w:top w:w="0" w:type="dxa"/>
          <w:left w:w="108" w:type="dxa"/>
          <w:bottom w:w="0" w:type="dxa"/>
          <w:right w:w="108" w:type="dxa"/>
        </w:tblCellMar>
      </w:tblPr>
      <w:tblGrid>
        <w:gridCol w:w="7508"/>
        <w:gridCol w:w="856"/>
      </w:tblGrid>
      <w:tr>
        <w:trPr>
          <w:trHeight w:val="433" w:hRule="atLeast"/>
        </w:trPr>
        <w:tc>
          <w:tcPr>
            <w:tcW w:w="7508" w:type="dxa"/>
            <w:tcBorders>
              <w:right w:val="single" w:sz="4" w:space="0" w:color="000000"/>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W w:w="8364" w:type="dxa"/>
        <w:jc w:val="left"/>
        <w:tblInd w:w="108" w:type="dxa"/>
        <w:tblLayout w:type="fixed"/>
        <w:tblCellMar>
          <w:top w:w="0" w:type="dxa"/>
          <w:left w:w="108" w:type="dxa"/>
          <w:bottom w:w="0" w:type="dxa"/>
          <w:right w:w="108" w:type="dxa"/>
        </w:tblCellMar>
      </w:tblPr>
      <w:tblGrid>
        <w:gridCol w:w="7508"/>
        <w:gridCol w:w="856"/>
      </w:tblGrid>
      <w:tr>
        <w:trPr>
          <w:trHeight w:val="433" w:hRule="atLeast"/>
        </w:trPr>
        <w:tc>
          <w:tcPr>
            <w:tcW w:w="7508" w:type="dxa"/>
            <w:tcBorders>
              <w:right w:val="single" w:sz="4" w:space="0" w:color="000000"/>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W w:w="8835" w:type="dxa"/>
        <w:jc w:val="left"/>
        <w:tblInd w:w="108" w:type="dxa"/>
        <w:tblLayout w:type="fixed"/>
        <w:tblCellMar>
          <w:top w:w="0" w:type="dxa"/>
          <w:left w:w="108" w:type="dxa"/>
          <w:bottom w:w="0" w:type="dxa"/>
          <w:right w:w="108" w:type="dxa"/>
        </w:tblCellMar>
      </w:tblPr>
      <w:tblGrid>
        <w:gridCol w:w="7507"/>
        <w:gridCol w:w="1328"/>
      </w:tblGrid>
      <w:tr>
        <w:trPr>
          <w:trHeight w:val="433" w:hRule="atLeast"/>
        </w:trPr>
        <w:tc>
          <w:tcPr>
            <w:tcW w:w="7507" w:type="dxa"/>
            <w:tcBorders>
              <w:right w:val="single" w:sz="4" w:space="0" w:color="000000"/>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W w:w="8364" w:type="dxa"/>
        <w:jc w:val="left"/>
        <w:tblInd w:w="108" w:type="dxa"/>
        <w:tblLayout w:type="fixed"/>
        <w:tblCellMar>
          <w:top w:w="0" w:type="dxa"/>
          <w:left w:w="108" w:type="dxa"/>
          <w:bottom w:w="0" w:type="dxa"/>
          <w:right w:w="108" w:type="dxa"/>
        </w:tblCellMar>
      </w:tblPr>
      <w:tblGrid>
        <w:gridCol w:w="7508"/>
        <w:gridCol w:w="856"/>
      </w:tblGrid>
      <w:tr>
        <w:trPr>
          <w:trHeight w:val="433" w:hRule="atLeast"/>
        </w:trPr>
        <w:tc>
          <w:tcPr>
            <w:tcW w:w="7508" w:type="dxa"/>
            <w:tcBorders>
              <w:right w:val="single" w:sz="4" w:space="0" w:color="000000"/>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op w:val="single" w:sz="4" w:space="0" w:color="000000"/>
              <w:left w:val="single" w:sz="4" w:space="0" w:color="000000"/>
              <w:bottom w:val="single" w:sz="4" w:space="0" w:color="000000"/>
              <w:right w:val="single" w:sz="4" w:space="0" w:color="000000"/>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LMA</w:t>
            </w:r>
          </w:p>
          <w:p>
            <w:pPr>
              <w:pStyle w:val="Normal"/>
              <w:rPr>
                <w:rFonts w:ascii="Arial" w:hAnsi="Arial" w:cs="Arial"/>
              </w:rPr>
            </w:pPr>
            <w:r>
              <w:rPr>
                <w:rFonts w:cs="Arial" w:ascii="Arial" w:hAnsi="Arial"/>
              </w:rPr>
              <w:t>General</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W w:w="8542" w:type="dxa"/>
              <w:jc w:val="left"/>
              <w:tblInd w:w="0" w:type="dxa"/>
              <w:tblLayout w:type="fixed"/>
              <w:tblCellMar>
                <w:top w:w="0" w:type="dxa"/>
                <w:left w:w="108" w:type="dxa"/>
                <w:bottom w:w="0" w:type="dxa"/>
                <w:right w:w="108" w:type="dxa"/>
              </w:tblCellMar>
            </w:tblPr>
            <w:tblGrid>
              <w:gridCol w:w="4710"/>
              <w:gridCol w:w="849"/>
              <w:gridCol w:w="994"/>
              <w:gridCol w:w="992"/>
              <w:gridCol w:w="997"/>
            </w:tblGrid>
            <w:tr>
              <w:trPr/>
              <w:tc>
                <w:tcPr>
                  <w:tcW w:w="4710" w:type="dxa"/>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top w:val="single" w:sz="4" w:space="0" w:color="000000"/>
                    <w:left w:val="single" w:sz="8" w:space="0" w:color="000000"/>
                    <w:bottom w:val="single" w:sz="4"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4" w:space="0" w:color="000000"/>
                    <w:left w:val="single" w:sz="8" w:space="0" w:color="000000"/>
                    <w:bottom w:val="single" w:sz="8" w:space="0" w:color="000000"/>
                    <w:right w:val="single" w:sz="4"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cPr>
                <w:p>
                  <w:pPr>
                    <w:pStyle w:val="Normal"/>
                    <w:widowControl/>
                    <w:spacing w:before="0" w:after="0"/>
                    <w:jc w:val="left"/>
                    <w:rPr>
                      <w:rFonts w:ascii="Arial" w:hAnsi="Arial" w:cs="Arial"/>
                    </w:rPr>
                  </w:pPr>
                  <w:r>
                    <w:rPr>
                      <w:rFonts w:cs="Arial" w:ascii="Arial" w:hAnsi="Arial"/>
                      <w:sz w:val="22"/>
                    </w:rPr>
                  </w:r>
                </w:p>
              </w:tc>
              <w:tc>
                <w:tcPr>
                  <w:tcW w:w="849" w:type="dxa"/>
                  <w:tcBorders/>
                </w:tcPr>
                <w:p>
                  <w:pPr>
                    <w:pStyle w:val="Normal"/>
                    <w:widowControl/>
                    <w:spacing w:before="0" w:after="0"/>
                    <w:jc w:val="left"/>
                    <w:rPr>
                      <w:rFonts w:ascii="Arial" w:hAnsi="Arial" w:cs="Arial"/>
                    </w:rPr>
                  </w:pPr>
                  <w:r>
                    <w:rPr>
                      <w:rFonts w:cs="Arial" w:ascii="Arial" w:hAnsi="Arial"/>
                      <w:sz w:val="22"/>
                    </w:rPr>
                  </w:r>
                </w:p>
              </w:tc>
              <w:tc>
                <w:tcPr>
                  <w:tcW w:w="994" w:type="dxa"/>
                  <w:tcBorders>
                    <w:top w:val="single" w:sz="4" w:space="0" w:color="000000"/>
                    <w:bottom w:val="single" w:sz="4"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top w:val="single" w:sz="4" w:space="0" w:color="000000"/>
                    <w:left w:val="single" w:sz="8" w:space="0" w:color="000000"/>
                    <w:bottom w:val="single" w:sz="4"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right w:val="single" w:sz="4"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cPr>
                <w:p>
                  <w:pPr>
                    <w:pStyle w:val="Normal"/>
                    <w:widowControl/>
                    <w:spacing w:before="0" w:after="0"/>
                    <w:jc w:val="left"/>
                    <w:rPr>
                      <w:rFonts w:ascii="Arial" w:hAnsi="Arial" w:cs="Arial"/>
                    </w:rPr>
                  </w:pPr>
                  <w:r>
                    <w:rPr>
                      <w:rFonts w:cs="Arial" w:ascii="Arial" w:hAnsi="Arial"/>
                      <w:sz w:val="22"/>
                    </w:rPr>
                  </w:r>
                </w:p>
              </w:tc>
              <w:tc>
                <w:tcPr>
                  <w:tcW w:w="849" w:type="dxa"/>
                  <w:tcBorders/>
                </w:tcPr>
                <w:p>
                  <w:pPr>
                    <w:pStyle w:val="Normal"/>
                    <w:widowControl/>
                    <w:spacing w:before="0" w:after="0"/>
                    <w:jc w:val="left"/>
                    <w:rPr>
                      <w:rFonts w:ascii="Arial" w:hAnsi="Arial" w:cs="Arial"/>
                    </w:rPr>
                  </w:pPr>
                  <w:r>
                    <w:rPr>
                      <w:rFonts w:cs="Arial" w:ascii="Arial" w:hAnsi="Arial"/>
                      <w:sz w:val="22"/>
                    </w:rPr>
                  </w:r>
                </w:p>
              </w:tc>
              <w:tc>
                <w:tcPr>
                  <w:tcW w:w="994" w:type="dxa"/>
                  <w:tcBorders>
                    <w:top w:val="single" w:sz="4"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cPr>
                <w:p>
                  <w:pPr>
                    <w:pStyle w:val="Normal"/>
                    <w:widowControl/>
                    <w:spacing w:before="0" w:after="0"/>
                    <w:jc w:val="left"/>
                    <w:rPr>
                      <w:rFonts w:ascii="Arial" w:hAnsi="Arial" w:cs="Arial"/>
                    </w:rPr>
                  </w:pPr>
                  <w:r>
                    <w:rPr>
                      <w:rFonts w:cs="Arial" w:ascii="Arial" w:hAnsi="Arial"/>
                      <w:sz w:val="22"/>
                    </w:rPr>
                  </w:r>
                </w:p>
              </w:tc>
              <w:tc>
                <w:tcPr>
                  <w:tcW w:w="849" w:type="dxa"/>
                  <w:tcBorders/>
                </w:tcPr>
                <w:p>
                  <w:pPr>
                    <w:pStyle w:val="Normal"/>
                    <w:widowControl/>
                    <w:spacing w:before="0" w:after="0"/>
                    <w:jc w:val="left"/>
                    <w:rPr>
                      <w:rFonts w:ascii="Arial" w:hAnsi="Arial" w:cs="Arial"/>
                    </w:rPr>
                  </w:pPr>
                  <w:r>
                    <w:rPr>
                      <w:rFonts w:cs="Arial" w:ascii="Arial" w:hAnsi="Arial"/>
                      <w:sz w:val="22"/>
                    </w:rPr>
                  </w:r>
                </w:p>
              </w:tc>
              <w:tc>
                <w:tcPr>
                  <w:tcW w:w="994" w:type="dxa"/>
                  <w:tcBorders/>
                </w:tcPr>
                <w:p>
                  <w:pPr>
                    <w:pStyle w:val="Normal"/>
                    <w:widowControl/>
                    <w:spacing w:before="0" w:after="0"/>
                    <w:jc w:val="left"/>
                    <w:rPr>
                      <w:rFonts w:ascii="Arial" w:hAnsi="Arial" w:cs="Arial"/>
                    </w:rPr>
                  </w:pPr>
                  <w:r>
                    <w:rPr>
                      <w:rFonts w:cs="Arial" w:ascii="Arial" w:hAnsi="Arial"/>
                      <w:sz w:val="22"/>
                    </w:rPr>
                  </w:r>
                </w:p>
              </w:tc>
              <w:tc>
                <w:tcPr>
                  <w:tcW w:w="992" w:type="dxa"/>
                  <w:tcBorders/>
                </w:tcPr>
                <w:p>
                  <w:pPr>
                    <w:pStyle w:val="Normal"/>
                    <w:widowControl/>
                    <w:spacing w:before="0" w:after="0"/>
                    <w:jc w:val="left"/>
                    <w:rPr>
                      <w:rFonts w:ascii="Arial" w:hAnsi="Arial" w:cs="Arial"/>
                    </w:rPr>
                  </w:pPr>
                  <w:r>
                    <w:rPr>
                      <w:rFonts w:cs="Arial" w:ascii="Arial" w:hAnsi="Arial"/>
                      <w:sz w:val="22"/>
                    </w:rPr>
                  </w:r>
                </w:p>
              </w:tc>
              <w:tc>
                <w:tcPr>
                  <w:tcW w:w="997" w:type="dxa"/>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Regulation 19 Representation – Proposal LMA (Long Marston Airfield New Community)</w:t>
            </w:r>
          </w:p>
          <w:p>
            <w:pPr>
              <w:pStyle w:val="NormalWeb"/>
              <w:bidi w:val="0"/>
              <w:spacing w:before="100" w:after="100"/>
              <w:rPr>
                <w:rFonts w:ascii="Times New Roman" w:hAnsi="Times New Roman"/>
              </w:rPr>
            </w:pPr>
            <w:r>
              <w:rPr>
                <w:rStyle w:val="Strong"/>
                <w:lang w:val="en-GB" w:eastAsia="en-GB" w:bidi="ar-SA"/>
              </w:rPr>
              <w:t>South Warwickshire Local Plan – Regulation 19 Publication Version (July 2026)</w:t>
            </w:r>
            <w:r>
              <w:rPr/>
              <w:t xml:space="preserve"> </w:t>
            </w:r>
            <w:r>
              <w:rPr>
                <w:rStyle w:val="Strong"/>
                <w:lang w:val="en-GB" w:eastAsia="en-GB" w:bidi="ar-SA"/>
              </w:rPr>
              <w:t>Representation on: Proposal LMA – Long Marston Airfield New Community</w:t>
            </w:r>
            <w:r>
              <w:rPr/>
              <w:t xml:space="preserve"> </w:t>
            </w:r>
            <w:r>
              <w:rPr>
                <w:rStyle w:val="Strong"/>
                <w:lang w:val="en-GB" w:eastAsia="en-GB" w:bidi="ar-SA"/>
              </w:rPr>
              <w:t>Tests of Soundness: Justified, Effective, Consistent with National Policy.</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1. Summary of Representation</w:t>
            </w:r>
          </w:p>
          <w:p>
            <w:pPr>
              <w:pStyle w:val="NormalWeb"/>
              <w:bidi w:val="0"/>
              <w:spacing w:before="100" w:after="100"/>
              <w:rPr>
                <w:rFonts w:ascii="Times New Roman" w:hAnsi="Times New Roman"/>
              </w:rPr>
            </w:pPr>
            <w:r>
              <w:rPr/>
              <w:t xml:space="preserve">I do not consider Proposal LMA (Long Marston Airfield New Community) to be </w:t>
            </w:r>
            <w:r>
              <w:rPr>
                <w:rStyle w:val="Strong"/>
                <w:b w:val="false"/>
                <w:lang w:val="en-GB" w:eastAsia="en-GB" w:bidi="ar-SA"/>
              </w:rPr>
              <w:t>sound</w:t>
            </w:r>
            <w:r>
              <w:rPr/>
              <w:t xml:space="preserve">. Specifically, the proposal </w:t>
            </w:r>
            <w:r>
              <w:rPr>
                <w:rStyle w:val="Strong"/>
                <w:b w:val="false"/>
                <w:lang w:val="en-GB" w:eastAsia="en-GB" w:bidi="ar-SA"/>
              </w:rPr>
              <w:t>fails the tests of Justification, Effectiveness, and Consistency with national policy</w:t>
            </w:r>
            <w:r>
              <w:rPr/>
              <w:t>, due to unresolved infrastructure constraints, insufficient evidence on transport and wastewater capacity, unclear phasing, and inadequate protection of settlement identity.</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 Test of Soundness Affected</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(a) Justified</w:t>
            </w:r>
          </w:p>
          <w:p>
            <w:pPr>
              <w:pStyle w:val="NormalWeb"/>
              <w:bidi w:val="0"/>
              <w:spacing w:before="100" w:after="100"/>
              <w:rPr>
                <w:rFonts w:ascii="Times New Roman" w:hAnsi="Times New Roman"/>
              </w:rPr>
            </w:pPr>
            <w:r>
              <w:rPr/>
              <w:t xml:space="preserve">The strategy for LMA is </w:t>
            </w:r>
            <w:r>
              <w:rPr>
                <w:rStyle w:val="Strong"/>
                <w:b w:val="false"/>
                <w:lang w:val="en-GB" w:eastAsia="en-GB" w:bidi="ar-SA"/>
              </w:rPr>
              <w:t>not based on proportionate evidence</w:t>
            </w:r>
            <w:r>
              <w:rPr/>
              <w:t>, particularly regarding:</w:t>
            </w:r>
          </w:p>
          <w:p>
            <w:pPr>
              <w:pStyle w:val="NormalWeb"/>
              <w:numPr>
                <w:ilvl w:val="0"/>
                <w:numId w:val="2"/>
              </w:numPr>
              <w:tabs>
                <w:tab w:val="left" w:pos="720" w:leader="none"/>
              </w:tabs>
              <w:bidi w:val="0"/>
              <w:spacing w:before="100" w:after="100"/>
              <w:ind w:hanging="360" w:left="720" w:right="0"/>
              <w:rPr>
                <w:rFonts w:ascii="Times New Roman" w:hAnsi="Times New Roman"/>
              </w:rPr>
            </w:pPr>
            <w:r>
              <w:rPr/>
              <w:t>Transport modelling for the B4632, Campden Road, and Stratford’s southern approaches</w:t>
            </w:r>
          </w:p>
          <w:p>
            <w:pPr>
              <w:pStyle w:val="NormalWeb"/>
              <w:numPr>
                <w:ilvl w:val="0"/>
                <w:numId w:val="2"/>
              </w:numPr>
              <w:tabs>
                <w:tab w:val="left" w:pos="720" w:leader="none"/>
              </w:tabs>
              <w:bidi w:val="0"/>
              <w:spacing w:before="100" w:after="100"/>
              <w:ind w:hanging="360" w:left="720" w:right="0"/>
              <w:rPr>
                <w:rFonts w:ascii="Times New Roman" w:hAnsi="Times New Roman"/>
              </w:rPr>
            </w:pPr>
            <w:r>
              <w:rPr/>
              <w:t>Wastewater treatment capacity and required upgrades</w:t>
            </w:r>
          </w:p>
          <w:p>
            <w:pPr>
              <w:pStyle w:val="NormalWeb"/>
              <w:numPr>
                <w:ilvl w:val="0"/>
                <w:numId w:val="2"/>
              </w:numPr>
              <w:tabs>
                <w:tab w:val="left" w:pos="720" w:leader="none"/>
              </w:tabs>
              <w:bidi w:val="0"/>
              <w:spacing w:before="100" w:after="100"/>
              <w:ind w:hanging="360" w:left="720" w:right="0"/>
              <w:rPr>
                <w:rFonts w:ascii="Times New Roman" w:hAnsi="Times New Roman"/>
              </w:rPr>
            </w:pPr>
            <w:r>
              <w:rPr/>
              <w:t>Integration with existing communities at Meon Vale and Long Marston village</w:t>
            </w:r>
          </w:p>
          <w:p>
            <w:pPr>
              <w:pStyle w:val="NormalWeb"/>
              <w:numPr>
                <w:ilvl w:val="0"/>
                <w:numId w:val="2"/>
              </w:numPr>
              <w:tabs>
                <w:tab w:val="left" w:pos="720" w:leader="none"/>
              </w:tabs>
              <w:bidi w:val="0"/>
              <w:spacing w:before="100" w:after="100"/>
              <w:ind w:hanging="360" w:left="720" w:right="0"/>
              <w:rPr>
                <w:rFonts w:ascii="Times New Roman" w:hAnsi="Times New Roman"/>
              </w:rPr>
            </w:pPr>
            <w:r>
              <w:rPr/>
              <w:t>Environmental Net Gain corridors and landscape buffers</w:t>
            </w:r>
          </w:p>
          <w:p>
            <w:pPr>
              <w:pStyle w:val="NormalWeb"/>
              <w:bidi w:val="0"/>
              <w:spacing w:before="100" w:after="100"/>
              <w:rPr>
                <w:rFonts w:ascii="Times New Roman" w:hAnsi="Times New Roman"/>
              </w:rPr>
            </w:pPr>
            <w:r>
              <w:rPr/>
              <w:t>The Regulation 19 document (Chapter 8, Proposal LMA) sets out high</w:t>
              <w:noBreakHyphen/>
              <w:t xml:space="preserve">level requirements but </w:t>
            </w:r>
            <w:r>
              <w:rPr>
                <w:rStyle w:val="Strong"/>
                <w:b w:val="false"/>
                <w:lang w:val="en-GB" w:eastAsia="en-GB" w:bidi="ar-SA"/>
              </w:rPr>
              <w:t>does not provide the evidence base demonstrating that these can be delivered</w:t>
            </w:r>
            <w:r>
              <w:rPr/>
              <w:t xml:space="preserve"> within the plan period. </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(b) Effective</w:t>
            </w:r>
          </w:p>
          <w:p>
            <w:pPr>
              <w:pStyle w:val="NormalWeb"/>
              <w:bidi w:val="0"/>
              <w:spacing w:before="100" w:after="100"/>
              <w:rPr>
                <w:rFonts w:ascii="Times New Roman" w:hAnsi="Times New Roman"/>
              </w:rPr>
            </w:pPr>
            <w:r>
              <w:rPr/>
              <w:t xml:space="preserve">The proposal is </w:t>
            </w:r>
            <w:r>
              <w:rPr>
                <w:rStyle w:val="Strong"/>
                <w:b w:val="false"/>
                <w:lang w:val="en-GB" w:eastAsia="en-GB" w:bidi="ar-SA"/>
              </w:rPr>
              <w:t>not deliverable</w:t>
            </w:r>
            <w:r>
              <w:rPr/>
              <w:t xml:space="preserve"> as drafted because:</w:t>
            </w:r>
          </w:p>
          <w:p>
            <w:pPr>
              <w:pStyle w:val="NormalWeb"/>
              <w:numPr>
                <w:ilvl w:val="0"/>
                <w:numId w:val="3"/>
              </w:numPr>
              <w:tabs>
                <w:tab w:val="left" w:pos="720" w:leader="none"/>
              </w:tabs>
              <w:bidi w:val="0"/>
              <w:spacing w:before="100" w:after="100"/>
              <w:ind w:hanging="360" w:left="720" w:right="0"/>
              <w:rPr>
                <w:rFonts w:ascii="Times New Roman" w:hAnsi="Times New Roman"/>
              </w:rPr>
            </w:pPr>
            <w:r>
              <w:rPr/>
              <w:t>Critical infrastructure (schools, road upgrades, wastewater treatment) is not tied to enforceable phasing triggers.</w:t>
            </w:r>
          </w:p>
          <w:p>
            <w:pPr>
              <w:pStyle w:val="NormalWeb"/>
              <w:numPr>
                <w:ilvl w:val="0"/>
                <w:numId w:val="3"/>
              </w:numPr>
              <w:tabs>
                <w:tab w:val="left" w:pos="720" w:leader="none"/>
              </w:tabs>
              <w:bidi w:val="0"/>
              <w:spacing w:before="100" w:after="100"/>
              <w:ind w:hanging="360" w:left="720" w:right="0"/>
              <w:rPr>
                <w:rFonts w:ascii="Times New Roman" w:hAnsi="Times New Roman"/>
              </w:rPr>
            </w:pPr>
            <w:r>
              <w:rPr/>
              <w:t xml:space="preserve">The Infrastructure Delivery Plan (ID policies) does not specify </w:t>
            </w:r>
            <w:r>
              <w:rPr>
                <w:rStyle w:val="Strong"/>
                <w:b w:val="false"/>
                <w:lang w:val="en-GB" w:eastAsia="en-GB" w:bidi="ar-SA"/>
              </w:rPr>
              <w:t>funding</w:t>
            </w:r>
            <w:r>
              <w:rPr>
                <w:rStyle w:val="Strong"/>
                <w:lang w:val="en-GB" w:eastAsia="en-GB" w:bidi="ar-SA"/>
              </w:rPr>
              <w:t xml:space="preserve"> </w:t>
            </w:r>
            <w:r>
              <w:rPr>
                <w:rStyle w:val="Strong"/>
                <w:b w:val="false"/>
                <w:lang w:val="en-GB" w:eastAsia="en-GB" w:bidi="ar-SA"/>
              </w:rPr>
              <w:t>sources</w:t>
            </w:r>
            <w:r>
              <w:rPr/>
              <w:t>, delivery partners, or timing for major interventions.</w:t>
            </w:r>
          </w:p>
          <w:p>
            <w:pPr>
              <w:pStyle w:val="NormalWeb"/>
              <w:numPr>
                <w:ilvl w:val="0"/>
                <w:numId w:val="3"/>
              </w:numPr>
              <w:tabs>
                <w:tab w:val="left" w:pos="720" w:leader="none"/>
              </w:tabs>
              <w:bidi w:val="0"/>
              <w:spacing w:before="100" w:after="100"/>
              <w:ind w:hanging="360" w:left="720" w:right="0"/>
              <w:rPr>
                <w:rFonts w:ascii="Times New Roman" w:hAnsi="Times New Roman"/>
              </w:rPr>
            </w:pPr>
            <w:r>
              <w:rPr/>
              <w:t xml:space="preserve">The plan relies on “early delivery” of schools and transport upgrades but provides </w:t>
            </w:r>
            <w:r>
              <w:rPr>
                <w:rStyle w:val="Strong"/>
                <w:b w:val="false"/>
                <w:lang w:val="en-GB" w:eastAsia="en-GB" w:bidi="ar-SA"/>
              </w:rPr>
              <w:t>no mechanism</w:t>
            </w:r>
            <w:r>
              <w:rPr/>
              <w:t xml:space="preserve"> to ensure these occur before housing occupation.</w:t>
            </w:r>
          </w:p>
          <w:p>
            <w:pPr>
              <w:pStyle w:val="NormalWeb"/>
              <w:numPr>
                <w:ilvl w:val="0"/>
                <w:numId w:val="3"/>
              </w:numPr>
              <w:tabs>
                <w:tab w:val="left" w:pos="720" w:leader="none"/>
              </w:tabs>
              <w:bidi w:val="0"/>
              <w:spacing w:before="100" w:after="100"/>
              <w:ind w:hanging="360" w:left="720" w:right="0"/>
              <w:rPr>
                <w:rFonts w:ascii="Times New Roman" w:hAnsi="Times New Roman"/>
              </w:rPr>
            </w:pPr>
            <w:r>
              <w:rPr/>
              <w:t>Integration with Meon Vale (which the plan suggests is already experiencing community cohesion issues) is not supported by a masterplan or design code at Regulation 19 stage.</w:t>
            </w:r>
          </w:p>
          <w:p>
            <w:pPr>
              <w:pStyle w:val="NormalWeb"/>
              <w:bidi w:val="0"/>
              <w:spacing w:before="100" w:after="100"/>
              <w:rPr>
                <w:rFonts w:ascii="Times New Roman" w:hAnsi="Times New Roman"/>
              </w:rPr>
            </w:pPr>
            <w:r>
              <w:rPr/>
              <w:t xml:space="preserve">Without clear, enforceable phasing, the proposal risks </w:t>
            </w:r>
            <w:r>
              <w:rPr>
                <w:rStyle w:val="Strong"/>
                <w:b w:val="false"/>
                <w:lang w:val="en-GB" w:eastAsia="en-GB" w:bidi="ar-SA"/>
              </w:rPr>
              <w:t>overloading existing infrastructure</w:t>
            </w:r>
            <w:r>
              <w:rPr/>
              <w:t xml:space="preserve"> and undermining the plan’s housing trajectory.</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(c) Consistent with National Policy</w:t>
            </w:r>
          </w:p>
          <w:p>
            <w:pPr>
              <w:pStyle w:val="NormalWeb"/>
              <w:bidi w:val="0"/>
              <w:spacing w:before="100" w:after="100"/>
              <w:rPr>
                <w:rFonts w:ascii="Times New Roman" w:hAnsi="Times New Roman"/>
              </w:rPr>
            </w:pPr>
            <w:r>
              <w:rPr/>
              <w:t>The proposal does not fully comply with the December 2024 NPPF requirements for:</w:t>
            </w:r>
          </w:p>
          <w:p>
            <w:pPr>
              <w:pStyle w:val="NormalWeb"/>
              <w:numPr>
                <w:ilvl w:val="0"/>
                <w:numId w:val="4"/>
              </w:numPr>
              <w:tabs>
                <w:tab w:val="left" w:pos="720" w:leader="none"/>
              </w:tabs>
              <w:bidi w:val="0"/>
              <w:spacing w:before="100" w:after="100"/>
              <w:ind w:hanging="360" w:left="720" w:right="0"/>
              <w:rPr>
                <w:rFonts w:ascii="Times New Roman" w:hAnsi="Times New Roman"/>
              </w:rPr>
            </w:pPr>
            <w:r>
              <w:rPr>
                <w:rStyle w:val="Strong"/>
                <w:b w:val="false"/>
                <w:lang w:val="en-GB" w:eastAsia="en-GB" w:bidi="ar-SA"/>
              </w:rPr>
              <w:t>Sustainable transport</w:t>
            </w:r>
            <w:r>
              <w:rPr/>
              <w:t xml:space="preserve"> (lack of evidence that active travel routes will be viable or safe)</w:t>
            </w:r>
          </w:p>
          <w:p>
            <w:pPr>
              <w:pStyle w:val="NormalWeb"/>
              <w:numPr>
                <w:ilvl w:val="0"/>
                <w:numId w:val="4"/>
              </w:numPr>
              <w:tabs>
                <w:tab w:val="left" w:pos="720" w:leader="none"/>
              </w:tabs>
              <w:bidi w:val="0"/>
              <w:spacing w:before="100" w:after="100"/>
              <w:ind w:hanging="360" w:left="720" w:right="0"/>
              <w:rPr>
                <w:rFonts w:ascii="Times New Roman" w:hAnsi="Times New Roman"/>
              </w:rPr>
            </w:pPr>
            <w:r>
              <w:rPr>
                <w:rStyle w:val="Strong"/>
                <w:b w:val="false"/>
                <w:lang w:val="en-GB" w:eastAsia="en-GB" w:bidi="ar-SA"/>
              </w:rPr>
              <w:t>Wastewater and water supply</w:t>
            </w:r>
            <w:r>
              <w:rPr/>
              <w:t xml:space="preserve"> (Policy ID.11 requires capacity evidence, which is not provided)</w:t>
            </w:r>
          </w:p>
          <w:p>
            <w:pPr>
              <w:pStyle w:val="NormalWeb"/>
              <w:numPr>
                <w:ilvl w:val="0"/>
                <w:numId w:val="4"/>
              </w:numPr>
              <w:tabs>
                <w:tab w:val="left" w:pos="720" w:leader="none"/>
              </w:tabs>
              <w:bidi w:val="0"/>
              <w:spacing w:before="100" w:after="100"/>
              <w:ind w:hanging="360" w:left="720" w:right="0"/>
              <w:rPr>
                <w:rFonts w:ascii="Times New Roman" w:hAnsi="Times New Roman"/>
              </w:rPr>
            </w:pPr>
            <w:r>
              <w:rPr>
                <w:rStyle w:val="Strong"/>
                <w:b w:val="false"/>
                <w:lang w:val="en-GB" w:eastAsia="en-GB" w:bidi="ar-SA"/>
              </w:rPr>
              <w:t>Maintaining settlement identity</w:t>
            </w:r>
            <w:r>
              <w:rPr/>
              <w:t xml:space="preserve"> (Policy DS.17 requires protection of settlement character, but buffers between Long Marston village, Meon Vale, and the new settlement are not defined spatially) </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 Detailed Concerns</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3.1 Transport &amp; Movement</w:t>
            </w:r>
          </w:p>
          <w:p>
            <w:pPr>
              <w:pStyle w:val="NormalWeb"/>
              <w:bidi w:val="0"/>
              <w:spacing w:before="100" w:after="100"/>
              <w:rPr>
                <w:rFonts w:ascii="Times New Roman" w:hAnsi="Times New Roman"/>
              </w:rPr>
            </w:pPr>
            <w:r>
              <w:rPr/>
              <w:t>The plan identifies required major transport interventions (ID.3–ID.5), including:</w:t>
            </w:r>
          </w:p>
          <w:p>
            <w:pPr>
              <w:pStyle w:val="NormalWeb"/>
              <w:numPr>
                <w:ilvl w:val="0"/>
                <w:numId w:val="5"/>
              </w:numPr>
              <w:tabs>
                <w:tab w:val="left" w:pos="720" w:leader="none"/>
              </w:tabs>
              <w:bidi w:val="0"/>
              <w:spacing w:before="100" w:after="100"/>
              <w:ind w:hanging="360" w:left="720" w:right="0"/>
              <w:rPr>
                <w:rFonts w:ascii="Times New Roman" w:hAnsi="Times New Roman"/>
              </w:rPr>
            </w:pPr>
            <w:r>
              <w:rPr/>
              <w:t>Upgrades to the B4632</w:t>
            </w:r>
          </w:p>
          <w:p>
            <w:pPr>
              <w:pStyle w:val="NormalWeb"/>
              <w:numPr>
                <w:ilvl w:val="0"/>
                <w:numId w:val="5"/>
              </w:numPr>
              <w:tabs>
                <w:tab w:val="left" w:pos="720" w:leader="none"/>
              </w:tabs>
              <w:bidi w:val="0"/>
              <w:spacing w:before="100" w:after="100"/>
              <w:ind w:hanging="360" w:left="720" w:right="0"/>
              <w:rPr>
                <w:rFonts w:ascii="Times New Roman" w:hAnsi="Times New Roman"/>
              </w:rPr>
            </w:pPr>
            <w:r>
              <w:rPr/>
              <w:t>Stratford</w:t>
              <w:noBreakHyphen/>
              <w:t>upon</w:t>
              <w:noBreakHyphen/>
              <w:t>Avon bypass (ID.4)</w:t>
            </w:r>
          </w:p>
          <w:p>
            <w:pPr>
              <w:pStyle w:val="NormalWeb"/>
              <w:numPr>
                <w:ilvl w:val="0"/>
                <w:numId w:val="5"/>
              </w:numPr>
              <w:tabs>
                <w:tab w:val="left" w:pos="720" w:leader="none"/>
              </w:tabs>
              <w:bidi w:val="0"/>
              <w:spacing w:before="100" w:after="100"/>
              <w:ind w:hanging="360" w:left="720" w:right="0"/>
              <w:rPr>
                <w:rFonts w:ascii="Times New Roman" w:hAnsi="Times New Roman"/>
              </w:rPr>
            </w:pPr>
            <w:r>
              <w:rPr/>
              <w:t>Sustainable transport accessibility (ID.5)</w:t>
            </w:r>
          </w:p>
          <w:p>
            <w:pPr>
              <w:pStyle w:val="NormalWeb"/>
              <w:bidi w:val="0"/>
              <w:spacing w:before="100" w:after="100"/>
              <w:rPr>
                <w:rFonts w:ascii="Times New Roman" w:hAnsi="Times New Roman"/>
              </w:rPr>
            </w:pPr>
            <w:r>
              <w:rPr/>
              <w:t>However:</w:t>
            </w:r>
          </w:p>
          <w:p>
            <w:pPr>
              <w:pStyle w:val="NormalWeb"/>
              <w:numPr>
                <w:ilvl w:val="0"/>
                <w:numId w:val="6"/>
              </w:numPr>
              <w:tabs>
                <w:tab w:val="left" w:pos="720" w:leader="none"/>
              </w:tabs>
              <w:bidi w:val="0"/>
              <w:spacing w:before="100" w:after="100"/>
              <w:ind w:hanging="360" w:left="720" w:right="0"/>
              <w:rPr>
                <w:rFonts w:ascii="Times New Roman" w:hAnsi="Times New Roman"/>
              </w:rPr>
            </w:pPr>
            <w:r>
              <w:rPr/>
              <w:t>No modelling is provided to demonstrate that these upgrades will mitigate the traffic generated by thousands of new homes.</w:t>
            </w:r>
          </w:p>
          <w:p>
            <w:pPr>
              <w:pStyle w:val="NormalWeb"/>
              <w:numPr>
                <w:ilvl w:val="0"/>
                <w:numId w:val="6"/>
              </w:numPr>
              <w:tabs>
                <w:tab w:val="left" w:pos="720" w:leader="none"/>
              </w:tabs>
              <w:bidi w:val="0"/>
              <w:spacing w:before="100" w:after="100"/>
              <w:ind w:hanging="360" w:left="720" w:right="0"/>
              <w:rPr>
                <w:rFonts w:ascii="Times New Roman" w:hAnsi="Times New Roman"/>
              </w:rPr>
            </w:pPr>
            <w:r>
              <w:rPr/>
              <w:t>The bypass is not guaranteed within the plan period, yet LMA’s deliverability depends on it.</w:t>
            </w:r>
          </w:p>
          <w:p>
            <w:pPr>
              <w:pStyle w:val="NormalWeb"/>
              <w:numPr>
                <w:ilvl w:val="0"/>
                <w:numId w:val="6"/>
              </w:numPr>
              <w:tabs>
                <w:tab w:val="left" w:pos="720" w:leader="none"/>
              </w:tabs>
              <w:bidi w:val="0"/>
              <w:spacing w:before="100" w:after="100"/>
              <w:ind w:hanging="360" w:left="720" w:right="0"/>
              <w:rPr>
                <w:rFonts w:ascii="Times New Roman" w:hAnsi="Times New Roman"/>
              </w:rPr>
            </w:pPr>
            <w:r>
              <w:rPr/>
              <w:t>Active travel corridors are described conceptually but lack route alignment, feasibility evidence, or safety assessments.</w:t>
            </w:r>
          </w:p>
          <w:p>
            <w:pPr>
              <w:pStyle w:val="NormalWeb"/>
              <w:bidi w:val="0"/>
              <w:spacing w:before="100" w:after="100"/>
              <w:rPr>
                <w:rFonts w:ascii="Times New Roman" w:hAnsi="Times New Roman"/>
              </w:rPr>
            </w:pPr>
            <w:r>
              <w:rPr/>
              <w:t xml:space="preserve">This undermines both </w:t>
            </w:r>
            <w:r>
              <w:rPr>
                <w:rStyle w:val="Strong"/>
                <w:b w:val="false"/>
                <w:lang w:val="en-GB" w:eastAsia="en-GB" w:bidi="ar-SA"/>
              </w:rPr>
              <w:t>Justification</w:t>
            </w:r>
            <w:r>
              <w:rPr/>
              <w:t xml:space="preserve"> and </w:t>
            </w:r>
            <w:r>
              <w:rPr>
                <w:rStyle w:val="Strong"/>
                <w:b w:val="false"/>
                <w:lang w:val="en-GB" w:eastAsia="en-GB" w:bidi="ar-SA"/>
              </w:rPr>
              <w:t>Effectiveness</w:t>
            </w:r>
            <w:r>
              <w:rPr/>
              <w:t>.</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3.2 Wastewater &amp; Utilities</w:t>
            </w:r>
          </w:p>
          <w:p>
            <w:pPr>
              <w:pStyle w:val="NormalWeb"/>
              <w:bidi w:val="0"/>
              <w:spacing w:before="100" w:after="100"/>
              <w:rPr>
                <w:rFonts w:ascii="Times New Roman" w:hAnsi="Times New Roman"/>
              </w:rPr>
            </w:pPr>
            <w:r>
              <w:rPr/>
              <w:t>Policy ID.11 requires evidence of wastewater capacity and upgrade feasibility. The Regulation 19 document does not provide:</w:t>
            </w:r>
          </w:p>
          <w:p>
            <w:pPr>
              <w:pStyle w:val="NormalWeb"/>
              <w:numPr>
                <w:ilvl w:val="0"/>
                <w:numId w:val="7"/>
              </w:numPr>
              <w:tabs>
                <w:tab w:val="left" w:pos="720" w:leader="none"/>
              </w:tabs>
              <w:bidi w:val="0"/>
              <w:spacing w:before="100" w:after="100"/>
              <w:ind w:hanging="360" w:left="720" w:right="0"/>
              <w:rPr>
                <w:rFonts w:ascii="Times New Roman" w:hAnsi="Times New Roman"/>
              </w:rPr>
            </w:pPr>
            <w:r>
              <w:rPr/>
              <w:t>Confirmation from Severn Trent Water on treatment capacity.</w:t>
            </w:r>
          </w:p>
          <w:p>
            <w:pPr>
              <w:pStyle w:val="NormalWeb"/>
              <w:numPr>
                <w:ilvl w:val="0"/>
                <w:numId w:val="7"/>
              </w:numPr>
              <w:tabs>
                <w:tab w:val="left" w:pos="720" w:leader="none"/>
              </w:tabs>
              <w:bidi w:val="0"/>
              <w:spacing w:before="100" w:after="100"/>
              <w:ind w:hanging="360" w:left="720" w:right="0"/>
              <w:rPr>
                <w:rFonts w:ascii="Times New Roman" w:hAnsi="Times New Roman"/>
              </w:rPr>
            </w:pPr>
            <w:r>
              <w:rPr/>
              <w:t>A funded upgrade plan.</w:t>
            </w:r>
          </w:p>
          <w:p>
            <w:pPr>
              <w:pStyle w:val="NormalWeb"/>
              <w:numPr>
                <w:ilvl w:val="0"/>
                <w:numId w:val="7"/>
              </w:numPr>
              <w:tabs>
                <w:tab w:val="left" w:pos="720" w:leader="none"/>
              </w:tabs>
              <w:bidi w:val="0"/>
              <w:spacing w:before="100" w:after="100"/>
              <w:ind w:hanging="360" w:left="720" w:right="0"/>
              <w:rPr>
                <w:rFonts w:ascii="Times New Roman" w:hAnsi="Times New Roman"/>
              </w:rPr>
            </w:pPr>
            <w:r>
              <w:rPr/>
              <w:t>A timeline aligned with housing delivery.</w:t>
            </w:r>
          </w:p>
          <w:p>
            <w:pPr>
              <w:pStyle w:val="NormalWeb"/>
              <w:bidi w:val="0"/>
              <w:spacing w:before="100" w:after="100"/>
              <w:rPr>
                <w:rFonts w:ascii="Times New Roman" w:hAnsi="Times New Roman"/>
              </w:rPr>
            </w:pPr>
            <w:r>
              <w:rPr/>
              <w:t xml:space="preserve">Given known constraints in the Long Marston/Stratford wastewater catchment, this is a </w:t>
            </w:r>
            <w:r>
              <w:rPr>
                <w:rStyle w:val="Strong"/>
                <w:b w:val="false"/>
                <w:lang w:val="en-GB" w:eastAsia="en-GB" w:bidi="ar-SA"/>
              </w:rPr>
              <w:t>major deliverability risk and</w:t>
            </w:r>
            <w:r>
              <w:rPr/>
              <w:t xml:space="preserve"> this undermines </w:t>
            </w:r>
            <w:r>
              <w:rPr>
                <w:rStyle w:val="Strong"/>
                <w:b w:val="false"/>
                <w:lang w:val="en-GB" w:eastAsia="en-GB" w:bidi="ar-SA"/>
              </w:rPr>
              <w:t xml:space="preserve">Effectiveness </w:t>
            </w:r>
            <w:r>
              <w:rPr>
                <w:b/>
              </w:rPr>
              <w:t>.</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3.3 Settlement Identity &amp; Landscape</w:t>
            </w:r>
          </w:p>
          <w:p>
            <w:pPr>
              <w:pStyle w:val="NormalWeb"/>
              <w:bidi w:val="0"/>
              <w:spacing w:before="100" w:after="100"/>
              <w:rPr>
                <w:rFonts w:ascii="Times New Roman" w:hAnsi="Times New Roman"/>
              </w:rPr>
            </w:pPr>
            <w:r>
              <w:rPr/>
              <w:t>Policy DS.17 requires maintaining settlement identity. Proposal LMA does not define:</w:t>
            </w:r>
          </w:p>
          <w:p>
            <w:pPr>
              <w:pStyle w:val="NormalWeb"/>
              <w:numPr>
                <w:ilvl w:val="0"/>
                <w:numId w:val="8"/>
              </w:numPr>
              <w:tabs>
                <w:tab w:val="left" w:pos="720" w:leader="none"/>
              </w:tabs>
              <w:bidi w:val="0"/>
              <w:spacing w:before="100" w:after="100"/>
              <w:ind w:hanging="360" w:left="720" w:right="0"/>
              <w:rPr>
                <w:rFonts w:ascii="Times New Roman" w:hAnsi="Times New Roman"/>
              </w:rPr>
            </w:pPr>
            <w:r>
              <w:rPr/>
              <w:t>Minimum buffer widths.</w:t>
            </w:r>
          </w:p>
          <w:p>
            <w:pPr>
              <w:pStyle w:val="NormalWeb"/>
              <w:numPr>
                <w:ilvl w:val="0"/>
                <w:numId w:val="8"/>
              </w:numPr>
              <w:tabs>
                <w:tab w:val="left" w:pos="720" w:leader="none"/>
              </w:tabs>
              <w:bidi w:val="0"/>
              <w:spacing w:before="100" w:after="100"/>
              <w:ind w:hanging="360" w:left="720" w:right="0"/>
              <w:rPr>
                <w:rFonts w:ascii="Times New Roman" w:hAnsi="Times New Roman"/>
              </w:rPr>
            </w:pPr>
            <w:r>
              <w:rPr/>
              <w:t>Landscape character protections.</w:t>
            </w:r>
          </w:p>
          <w:p>
            <w:pPr>
              <w:pStyle w:val="NormalWeb"/>
              <w:numPr>
                <w:ilvl w:val="0"/>
                <w:numId w:val="8"/>
              </w:numPr>
              <w:tabs>
                <w:tab w:val="left" w:pos="720" w:leader="none"/>
              </w:tabs>
              <w:bidi w:val="0"/>
              <w:spacing w:before="100" w:after="100"/>
              <w:ind w:hanging="360" w:left="720" w:right="0"/>
              <w:rPr>
                <w:rFonts w:ascii="Times New Roman" w:hAnsi="Times New Roman"/>
              </w:rPr>
            </w:pPr>
            <w:r>
              <w:rPr/>
              <w:t>Separation zones between Long Marston village, Meon Vale, and the new settlement.</w:t>
            </w:r>
          </w:p>
          <w:p>
            <w:pPr>
              <w:pStyle w:val="NormalWeb"/>
              <w:bidi w:val="0"/>
              <w:spacing w:before="100" w:after="100"/>
              <w:rPr>
                <w:rFonts w:ascii="Times New Roman" w:hAnsi="Times New Roman"/>
                <w:b/>
              </w:rPr>
            </w:pPr>
            <w:r>
              <w:rPr/>
              <w:t xml:space="preserve">This risks </w:t>
            </w:r>
            <w:r>
              <w:rPr>
                <w:rStyle w:val="Strong"/>
                <w:b w:val="false"/>
                <w:lang w:val="en-GB" w:eastAsia="en-GB" w:bidi="ar-SA"/>
              </w:rPr>
              <w:t>coalescence</w:t>
            </w:r>
            <w:r>
              <w:rPr/>
              <w:t xml:space="preserve"> and loss of rural character undermining </w:t>
            </w:r>
            <w:r>
              <w:rPr>
                <w:rStyle w:val="Strong"/>
                <w:b w:val="false"/>
                <w:lang w:val="en-GB" w:eastAsia="en-GB" w:bidi="ar-SA"/>
              </w:rPr>
              <w:t>Consistent with National Policy</w:t>
            </w:r>
            <w:r>
              <w:rPr>
                <w:b/>
              </w:rPr>
              <w:t>.</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3.4 Integration with Existing Communities</w:t>
            </w:r>
          </w:p>
          <w:p>
            <w:pPr>
              <w:pStyle w:val="NormalWeb"/>
              <w:bidi w:val="0"/>
              <w:spacing w:before="100" w:after="100"/>
              <w:rPr>
                <w:rFonts w:ascii="Times New Roman" w:hAnsi="Times New Roman"/>
              </w:rPr>
            </w:pPr>
            <w:r>
              <w:rPr/>
              <w:t xml:space="preserve">Despite calling for preserving settlement identity the plan </w:t>
            </w:r>
            <w:r>
              <w:rPr/>
              <w:t xml:space="preserve">confusingly </w:t>
            </w:r>
            <w:r>
              <w:rPr/>
              <w:t>states LMA must functionally integrate with Meon Vale and Long Marston village, but:</w:t>
            </w:r>
          </w:p>
          <w:p>
            <w:pPr>
              <w:pStyle w:val="NormalWeb"/>
              <w:numPr>
                <w:ilvl w:val="0"/>
                <w:numId w:val="9"/>
              </w:numPr>
              <w:tabs>
                <w:tab w:val="left" w:pos="720" w:leader="none"/>
              </w:tabs>
              <w:bidi w:val="0"/>
              <w:spacing w:before="100" w:after="100"/>
              <w:ind w:hanging="360" w:left="720" w:right="0"/>
              <w:rPr>
                <w:rFonts w:ascii="Times New Roman" w:hAnsi="Times New Roman"/>
              </w:rPr>
            </w:pPr>
            <w:r>
              <w:rPr/>
              <w:t>No masterplan is provided.</w:t>
            </w:r>
          </w:p>
          <w:p>
            <w:pPr>
              <w:pStyle w:val="NormalWeb"/>
              <w:numPr>
                <w:ilvl w:val="0"/>
                <w:numId w:val="9"/>
              </w:numPr>
              <w:tabs>
                <w:tab w:val="left" w:pos="720" w:leader="none"/>
              </w:tabs>
              <w:bidi w:val="0"/>
              <w:spacing w:before="100" w:after="100"/>
              <w:ind w:hanging="360" w:left="720" w:right="0"/>
              <w:rPr>
                <w:rFonts w:ascii="Times New Roman" w:hAnsi="Times New Roman"/>
              </w:rPr>
            </w:pPr>
            <w:r>
              <w:rPr/>
              <w:t>No design code exists at Regulation 19 stage.</w:t>
            </w:r>
          </w:p>
          <w:p>
            <w:pPr>
              <w:pStyle w:val="NormalWeb"/>
              <w:numPr>
                <w:ilvl w:val="0"/>
                <w:numId w:val="9"/>
              </w:numPr>
              <w:tabs>
                <w:tab w:val="left" w:pos="720" w:leader="none"/>
              </w:tabs>
              <w:bidi w:val="0"/>
              <w:spacing w:before="100" w:after="100"/>
              <w:ind w:hanging="360" w:left="720" w:right="0"/>
              <w:rPr>
                <w:rFonts w:ascii="Times New Roman" w:hAnsi="Times New Roman"/>
              </w:rPr>
            </w:pPr>
            <w:r>
              <w:rPr/>
              <w:t>No community infrastructure strategy is included.</w:t>
            </w:r>
          </w:p>
          <w:p>
            <w:pPr>
              <w:pStyle w:val="NormalWeb"/>
              <w:bidi w:val="0"/>
              <w:spacing w:before="100" w:after="100"/>
              <w:rPr>
                <w:rFonts w:ascii="Times New Roman" w:hAnsi="Times New Roman"/>
              </w:rPr>
            </w:pPr>
            <w:r>
              <w:rPr/>
              <w:t xml:space="preserve">This fails the </w:t>
            </w:r>
            <w:r>
              <w:rPr>
                <w:rStyle w:val="Strong"/>
                <w:b w:val="false"/>
                <w:lang w:val="en-GB" w:eastAsia="en-GB" w:bidi="ar-SA"/>
              </w:rPr>
              <w:t>Effectiveness</w:t>
            </w:r>
            <w:r>
              <w:rPr/>
              <w:t xml:space="preserve"> test.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 Requested Modifications (Required for Soundness)</w:t>
            </w:r>
          </w:p>
          <w:p>
            <w:pPr>
              <w:pStyle w:val="NormalWeb"/>
              <w:bidi w:val="0"/>
              <w:spacing w:before="100" w:after="100"/>
              <w:rPr>
                <w:rFonts w:ascii="Times New Roman" w:hAnsi="Times New Roman"/>
              </w:rPr>
            </w:pPr>
            <w:r>
              <w:rPr/>
              <w:t>I request the following changes to make Proposal LMA sound:</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1 – Provide Full Transport Evidence</w:t>
            </w:r>
          </w:p>
          <w:p>
            <w:pPr>
              <w:pStyle w:val="NormalWeb"/>
              <w:bidi w:val="0"/>
              <w:spacing w:before="100" w:after="100"/>
              <w:rPr>
                <w:rFonts w:ascii="Times New Roman" w:hAnsi="Times New Roman"/>
              </w:rPr>
            </w:pPr>
            <w:r>
              <w:rPr/>
              <w:t>Publish the transport modelling for:</w:t>
            </w:r>
          </w:p>
          <w:p>
            <w:pPr>
              <w:pStyle w:val="NormalWeb"/>
              <w:numPr>
                <w:ilvl w:val="0"/>
                <w:numId w:val="10"/>
              </w:numPr>
              <w:tabs>
                <w:tab w:val="left" w:pos="720" w:leader="none"/>
              </w:tabs>
              <w:bidi w:val="0"/>
              <w:spacing w:before="100" w:after="100"/>
              <w:rPr>
                <w:rFonts w:ascii="Times New Roman" w:hAnsi="Times New Roman"/>
              </w:rPr>
            </w:pPr>
            <w:r>
              <w:rPr/>
              <w:t>B4632.</w:t>
            </w:r>
          </w:p>
          <w:p>
            <w:pPr>
              <w:pStyle w:val="NormalWeb"/>
              <w:numPr>
                <w:ilvl w:val="0"/>
                <w:numId w:val="10"/>
              </w:numPr>
              <w:tabs>
                <w:tab w:val="left" w:pos="720" w:leader="none"/>
              </w:tabs>
              <w:bidi w:val="0"/>
              <w:spacing w:before="100" w:after="100"/>
              <w:rPr>
                <w:rFonts w:ascii="Times New Roman" w:hAnsi="Times New Roman"/>
              </w:rPr>
            </w:pPr>
            <w:r>
              <w:rPr/>
              <w:t>Campden Road.</w:t>
            </w:r>
          </w:p>
          <w:p>
            <w:pPr>
              <w:pStyle w:val="NormalWeb"/>
              <w:numPr>
                <w:ilvl w:val="0"/>
                <w:numId w:val="10"/>
              </w:numPr>
              <w:tabs>
                <w:tab w:val="left" w:pos="720" w:leader="none"/>
              </w:tabs>
              <w:bidi w:val="0"/>
              <w:spacing w:before="100" w:after="100"/>
              <w:rPr>
                <w:rFonts w:ascii="Times New Roman" w:hAnsi="Times New Roman"/>
              </w:rPr>
            </w:pPr>
            <w:r>
              <w:rPr/>
              <w:t>Stratford southern approaches.</w:t>
            </w:r>
          </w:p>
          <w:p>
            <w:pPr>
              <w:pStyle w:val="NormalWeb"/>
              <w:numPr>
                <w:ilvl w:val="0"/>
                <w:numId w:val="10"/>
              </w:numPr>
              <w:tabs>
                <w:tab w:val="left" w:pos="720" w:leader="none"/>
              </w:tabs>
              <w:bidi w:val="0"/>
              <w:spacing w:before="100" w:after="100"/>
              <w:rPr>
                <w:rFonts w:ascii="Times New Roman" w:hAnsi="Times New Roman"/>
              </w:rPr>
            </w:pPr>
            <w:r>
              <w:rPr/>
              <w:t>Active travel corridors.</w:t>
            </w:r>
          </w:p>
          <w:p>
            <w:pPr>
              <w:pStyle w:val="NormalWeb"/>
              <w:numPr>
                <w:ilvl w:val="0"/>
                <w:numId w:val="10"/>
              </w:numPr>
              <w:tabs>
                <w:tab w:val="left" w:pos="720" w:leader="none"/>
              </w:tabs>
              <w:bidi w:val="0"/>
              <w:spacing w:before="100" w:after="100"/>
              <w:rPr>
                <w:rFonts w:ascii="Times New Roman" w:hAnsi="Times New Roman"/>
              </w:rPr>
            </w:pPr>
            <w:r>
              <w:rPr/>
              <w:t>Public transport viability.</w:t>
            </w:r>
          </w:p>
          <w:p>
            <w:pPr>
              <w:pStyle w:val="NormalWeb"/>
              <w:bidi w:val="0"/>
              <w:spacing w:before="100" w:after="100"/>
              <w:rPr>
                <w:rFonts w:ascii="Times New Roman" w:hAnsi="Times New Roman"/>
              </w:rPr>
            </w:pPr>
            <w:r>
              <w:rPr/>
              <w:t>Include enforceable phasing triggers linking housing occupation to transport delivery.</w:t>
            </w:r>
          </w:p>
          <w:p>
            <w:pPr>
              <w:pStyle w:val="NormalWeb"/>
              <w:bidi w:val="0"/>
              <w:spacing w:before="100" w:after="100"/>
              <w:rPr>
                <w:rFonts w:ascii="Times New Roman" w:hAnsi="Times New Roman"/>
              </w:rPr>
            </w:pPr>
            <w:r>
              <w:rPr/>
              <w:t xml:space="preserve">Also provide plans for the South Stratford Bypass along with funding plans. Include a policy requirement preventing development until funded plans are in place for the bypass. </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2 – Provide Wastewater Capacity Evidence</w:t>
            </w:r>
          </w:p>
          <w:p>
            <w:pPr>
              <w:pStyle w:val="NormalWeb"/>
              <w:bidi w:val="0"/>
              <w:spacing w:before="100" w:after="100"/>
              <w:rPr>
                <w:rFonts w:ascii="Times New Roman" w:hAnsi="Times New Roman"/>
              </w:rPr>
            </w:pPr>
            <w:r>
              <w:rPr/>
              <w:t>Publish:</w:t>
            </w:r>
          </w:p>
          <w:p>
            <w:pPr>
              <w:pStyle w:val="NormalWeb"/>
              <w:numPr>
                <w:ilvl w:val="0"/>
                <w:numId w:val="11"/>
              </w:numPr>
              <w:tabs>
                <w:tab w:val="left" w:pos="720" w:leader="none"/>
              </w:tabs>
              <w:bidi w:val="0"/>
              <w:spacing w:before="100" w:after="100"/>
              <w:rPr>
                <w:rFonts w:ascii="Times New Roman" w:hAnsi="Times New Roman"/>
              </w:rPr>
            </w:pPr>
            <w:r>
              <w:rPr/>
              <w:t>Confirmation of treatment capacity.</w:t>
            </w:r>
          </w:p>
          <w:p>
            <w:pPr>
              <w:pStyle w:val="NormalWeb"/>
              <w:numPr>
                <w:ilvl w:val="0"/>
                <w:numId w:val="11"/>
              </w:numPr>
              <w:tabs>
                <w:tab w:val="left" w:pos="720" w:leader="none"/>
              </w:tabs>
              <w:bidi w:val="0"/>
              <w:spacing w:before="100" w:after="100"/>
              <w:rPr>
                <w:rFonts w:ascii="Times New Roman" w:hAnsi="Times New Roman"/>
              </w:rPr>
            </w:pPr>
            <w:r>
              <w:rPr/>
              <w:t>Required upgrades.</w:t>
            </w:r>
          </w:p>
          <w:p>
            <w:pPr>
              <w:pStyle w:val="NormalWeb"/>
              <w:numPr>
                <w:ilvl w:val="0"/>
                <w:numId w:val="11"/>
              </w:numPr>
              <w:tabs>
                <w:tab w:val="left" w:pos="720" w:leader="none"/>
              </w:tabs>
              <w:bidi w:val="0"/>
              <w:spacing w:before="100" w:after="100"/>
              <w:rPr>
                <w:rFonts w:ascii="Times New Roman" w:hAnsi="Times New Roman"/>
              </w:rPr>
            </w:pPr>
            <w:r>
              <w:rPr/>
              <w:t>Funding arrangements.</w:t>
            </w:r>
          </w:p>
          <w:p>
            <w:pPr>
              <w:pStyle w:val="NormalWeb"/>
              <w:numPr>
                <w:ilvl w:val="0"/>
                <w:numId w:val="11"/>
              </w:numPr>
              <w:tabs>
                <w:tab w:val="left" w:pos="720" w:leader="none"/>
              </w:tabs>
              <w:bidi w:val="0"/>
              <w:spacing w:before="100" w:after="100"/>
              <w:rPr>
                <w:rFonts w:ascii="Times New Roman" w:hAnsi="Times New Roman"/>
              </w:rPr>
            </w:pPr>
            <w:r>
              <w:rPr/>
              <w:t>Delivery timeline aligned with housing phases.</w:t>
            </w:r>
          </w:p>
          <w:p>
            <w:pPr>
              <w:pStyle w:val="NormalWeb"/>
              <w:bidi w:val="0"/>
              <w:spacing w:before="100" w:after="100"/>
              <w:rPr>
                <w:rFonts w:ascii="Times New Roman" w:hAnsi="Times New Roman"/>
              </w:rPr>
            </w:pPr>
            <w:r>
              <w:rPr/>
              <w:t>Include a policy requirement preventing occupation until wastewater capacity is secured.</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3 – Define Settlement Buffers</w:t>
            </w:r>
          </w:p>
          <w:p>
            <w:pPr>
              <w:pStyle w:val="NormalWeb"/>
              <w:bidi w:val="0"/>
              <w:spacing w:before="100" w:after="100"/>
              <w:rPr>
                <w:rFonts w:ascii="Times New Roman" w:hAnsi="Times New Roman"/>
              </w:rPr>
            </w:pPr>
            <w:r>
              <w:rPr/>
              <w:t>Add spatially defined buffers between:</w:t>
            </w:r>
          </w:p>
          <w:p>
            <w:pPr>
              <w:pStyle w:val="NormalWeb"/>
              <w:numPr>
                <w:ilvl w:val="0"/>
                <w:numId w:val="4"/>
              </w:numPr>
              <w:tabs>
                <w:tab w:val="left" w:pos="720" w:leader="none"/>
              </w:tabs>
              <w:bidi w:val="0"/>
              <w:spacing w:before="100" w:after="100"/>
              <w:ind w:hanging="360" w:left="720" w:right="0"/>
              <w:rPr>
                <w:rFonts w:ascii="Times New Roman" w:hAnsi="Times New Roman"/>
              </w:rPr>
            </w:pPr>
            <w:r>
              <w:rPr/>
              <w:t>Long Marston village.</w:t>
            </w:r>
          </w:p>
          <w:p>
            <w:pPr>
              <w:pStyle w:val="NormalWeb"/>
              <w:numPr>
                <w:ilvl w:val="0"/>
                <w:numId w:val="4"/>
              </w:numPr>
              <w:tabs>
                <w:tab w:val="left" w:pos="720" w:leader="none"/>
              </w:tabs>
              <w:bidi w:val="0"/>
              <w:spacing w:before="100" w:after="100"/>
              <w:ind w:hanging="360" w:left="720" w:right="0"/>
              <w:rPr>
                <w:rFonts w:ascii="Times New Roman" w:hAnsi="Times New Roman"/>
              </w:rPr>
            </w:pPr>
            <w:r>
              <w:rPr/>
              <w:t>Meon Vale.</w:t>
            </w:r>
          </w:p>
          <w:p>
            <w:pPr>
              <w:pStyle w:val="NormalWeb"/>
              <w:numPr>
                <w:ilvl w:val="0"/>
                <w:numId w:val="4"/>
              </w:numPr>
              <w:tabs>
                <w:tab w:val="left" w:pos="720" w:leader="none"/>
              </w:tabs>
              <w:bidi w:val="0"/>
              <w:spacing w:before="100" w:after="100"/>
              <w:ind w:hanging="360" w:left="720" w:right="0"/>
              <w:rPr>
                <w:rFonts w:ascii="Times New Roman" w:hAnsi="Times New Roman"/>
              </w:rPr>
            </w:pPr>
            <w:r>
              <w:rPr/>
              <w:t>The new settlement.</w:t>
            </w:r>
          </w:p>
          <w:p>
            <w:pPr>
              <w:pStyle w:val="NormalWeb"/>
              <w:bidi w:val="0"/>
              <w:spacing w:before="100" w:after="100"/>
              <w:rPr>
                <w:rFonts w:ascii="Times New Roman" w:hAnsi="Times New Roman"/>
              </w:rPr>
            </w:pPr>
            <w:r>
              <w:rPr/>
              <w:t>Include minimum widths and landscape character protections.</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4 – Publish a Masterplan &amp; Design Code</w:t>
            </w:r>
          </w:p>
          <w:p>
            <w:pPr>
              <w:pStyle w:val="NormalWeb"/>
              <w:bidi w:val="0"/>
              <w:spacing w:before="100" w:after="100"/>
              <w:rPr>
                <w:rFonts w:ascii="Times New Roman" w:hAnsi="Times New Roman"/>
              </w:rPr>
            </w:pPr>
            <w:r>
              <w:rPr/>
              <w:t xml:space="preserve">Require a </w:t>
            </w:r>
            <w:r>
              <w:rPr>
                <w:rStyle w:val="Strong"/>
                <w:b w:val="false"/>
                <w:lang w:val="en-GB" w:eastAsia="en-GB" w:bidi="ar-SA"/>
              </w:rPr>
              <w:t>site</w:t>
              <w:noBreakHyphen/>
              <w:t>specific masterplan</w:t>
            </w:r>
            <w:r>
              <w:rPr>
                <w:b/>
              </w:rPr>
              <w:t xml:space="preserve"> </w:t>
            </w:r>
            <w:r>
              <w:rPr/>
              <w:t xml:space="preserve">and </w:t>
            </w:r>
            <w:r>
              <w:rPr>
                <w:rStyle w:val="Strong"/>
                <w:b w:val="false"/>
                <w:lang w:val="en-GB" w:eastAsia="en-GB" w:bidi="ar-SA"/>
              </w:rPr>
              <w:t>design code</w:t>
            </w:r>
            <w:r>
              <w:rPr/>
              <w:t xml:space="preserve"> for </w:t>
            </w:r>
            <w:r>
              <w:rPr>
                <w:b/>
              </w:rPr>
              <w:t xml:space="preserve">LMA </w:t>
            </w:r>
            <w:r>
              <w:rPr>
                <w:rStyle w:val="Strong"/>
                <w:b w:val="false"/>
                <w:lang w:val="en-GB" w:eastAsia="en-GB" w:bidi="ar-SA"/>
              </w:rPr>
              <w:t>before any planning permission is granted</w:t>
            </w:r>
            <w:r>
              <w:rPr/>
              <w:t>, covering:</w:t>
            </w:r>
          </w:p>
          <w:p>
            <w:pPr>
              <w:pStyle w:val="NormalWeb"/>
              <w:numPr>
                <w:ilvl w:val="0"/>
                <w:numId w:val="5"/>
              </w:numPr>
              <w:tabs>
                <w:tab w:val="left" w:pos="720" w:leader="none"/>
              </w:tabs>
              <w:bidi w:val="0"/>
              <w:spacing w:before="100" w:after="100"/>
              <w:ind w:hanging="360" w:left="720" w:right="0"/>
              <w:rPr>
                <w:rFonts w:ascii="Times New Roman" w:hAnsi="Times New Roman"/>
              </w:rPr>
            </w:pPr>
            <w:r>
              <w:rPr/>
              <w:t>Integration with existing communities.</w:t>
            </w:r>
          </w:p>
          <w:p>
            <w:pPr>
              <w:pStyle w:val="NormalWeb"/>
              <w:numPr>
                <w:ilvl w:val="0"/>
                <w:numId w:val="5"/>
              </w:numPr>
              <w:tabs>
                <w:tab w:val="left" w:pos="720" w:leader="none"/>
              </w:tabs>
              <w:bidi w:val="0"/>
              <w:spacing w:before="100" w:after="100"/>
              <w:ind w:hanging="360" w:left="720" w:right="0"/>
              <w:rPr>
                <w:rFonts w:ascii="Times New Roman" w:hAnsi="Times New Roman"/>
              </w:rPr>
            </w:pPr>
            <w:r>
              <w:rPr/>
              <w:t>Green/blue infrastructure.</w:t>
            </w:r>
          </w:p>
          <w:p>
            <w:pPr>
              <w:pStyle w:val="NormalWeb"/>
              <w:numPr>
                <w:ilvl w:val="0"/>
                <w:numId w:val="5"/>
              </w:numPr>
              <w:tabs>
                <w:tab w:val="left" w:pos="720" w:leader="none"/>
              </w:tabs>
              <w:bidi w:val="0"/>
              <w:spacing w:before="100" w:after="100"/>
              <w:ind w:hanging="360" w:left="720" w:right="0"/>
              <w:rPr>
                <w:rFonts w:ascii="Times New Roman" w:hAnsi="Times New Roman"/>
              </w:rPr>
            </w:pPr>
            <w:r>
              <w:rPr/>
              <w:t>Environmental Net Gain corridors.</w:t>
            </w:r>
          </w:p>
          <w:p>
            <w:pPr>
              <w:pStyle w:val="NormalWeb"/>
              <w:numPr>
                <w:ilvl w:val="0"/>
                <w:numId w:val="5"/>
              </w:numPr>
              <w:tabs>
                <w:tab w:val="left" w:pos="720" w:leader="none"/>
              </w:tabs>
              <w:bidi w:val="0"/>
              <w:spacing w:before="100" w:after="100"/>
              <w:ind w:hanging="360" w:left="720" w:right="0"/>
              <w:rPr>
                <w:rFonts w:ascii="Times New Roman" w:hAnsi="Times New Roman"/>
              </w:rPr>
            </w:pPr>
            <w:r>
              <w:rPr/>
              <w:t>School and centre locations.</w:t>
            </w:r>
          </w:p>
          <w:p>
            <w:pPr>
              <w:pStyle w:val="NormalWeb"/>
              <w:numPr>
                <w:ilvl w:val="0"/>
                <w:numId w:val="5"/>
              </w:numPr>
              <w:tabs>
                <w:tab w:val="left" w:pos="720" w:leader="none"/>
              </w:tabs>
              <w:bidi w:val="0"/>
              <w:spacing w:before="100" w:after="100"/>
              <w:ind w:hanging="360" w:left="720" w:right="0"/>
              <w:rPr>
                <w:rFonts w:ascii="Times New Roman" w:hAnsi="Times New Roman"/>
              </w:rPr>
            </w:pPr>
            <w:r>
              <w:rPr/>
              <w:t>Walkability and neighbourhood structure.</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5 – Strengthen Infrastructure Phasing</w:t>
            </w:r>
          </w:p>
          <w:p>
            <w:pPr>
              <w:pStyle w:val="NormalWeb"/>
              <w:bidi w:val="0"/>
              <w:spacing w:before="100" w:after="100"/>
              <w:rPr>
                <w:rFonts w:ascii="Times New Roman" w:hAnsi="Times New Roman"/>
              </w:rPr>
            </w:pPr>
            <w:r>
              <w:rPr/>
              <w:t>Amend Proposal LMA to include binding triggers ensuring:</w:t>
            </w:r>
          </w:p>
          <w:p>
            <w:pPr>
              <w:pStyle w:val="NormalWeb"/>
              <w:numPr>
                <w:ilvl w:val="0"/>
                <w:numId w:val="6"/>
              </w:numPr>
              <w:tabs>
                <w:tab w:val="left" w:pos="720" w:leader="none"/>
              </w:tabs>
              <w:bidi w:val="0"/>
              <w:spacing w:before="100" w:after="100"/>
              <w:ind w:hanging="360" w:left="720" w:right="0"/>
              <w:rPr>
                <w:rFonts w:ascii="Times New Roman" w:hAnsi="Times New Roman"/>
              </w:rPr>
            </w:pPr>
            <w:r>
              <w:rPr/>
              <w:t>Schools are delivered before occupation.</w:t>
            </w:r>
          </w:p>
          <w:p>
            <w:pPr>
              <w:pStyle w:val="NormalWeb"/>
              <w:numPr>
                <w:ilvl w:val="0"/>
                <w:numId w:val="6"/>
              </w:numPr>
              <w:tabs>
                <w:tab w:val="left" w:pos="720" w:leader="none"/>
              </w:tabs>
              <w:bidi w:val="0"/>
              <w:spacing w:before="100" w:after="100"/>
              <w:ind w:hanging="360" w:left="720" w:right="0"/>
              <w:rPr>
                <w:rFonts w:ascii="Times New Roman" w:hAnsi="Times New Roman"/>
              </w:rPr>
            </w:pPr>
            <w:r>
              <w:rPr/>
              <w:t>Transport upgrades are delivered before occupation.</w:t>
            </w:r>
          </w:p>
          <w:p>
            <w:pPr>
              <w:pStyle w:val="NormalWeb"/>
              <w:numPr>
                <w:ilvl w:val="0"/>
                <w:numId w:val="6"/>
              </w:numPr>
              <w:tabs>
                <w:tab w:val="left" w:pos="720" w:leader="none"/>
              </w:tabs>
              <w:bidi w:val="0"/>
              <w:spacing w:before="100" w:after="100"/>
              <w:ind w:hanging="360" w:left="720" w:right="0"/>
              <w:rPr>
                <w:rFonts w:ascii="Times New Roman" w:hAnsi="Times New Roman"/>
              </w:rPr>
            </w:pPr>
            <w:r>
              <w:rPr/>
              <w:t>Wastewater capacity is secured before occupation.</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5. Conclusion</w:t>
            </w:r>
          </w:p>
          <w:p>
            <w:pPr>
              <w:pStyle w:val="NormalWeb"/>
              <w:bidi w:val="0"/>
              <w:spacing w:before="100" w:after="100"/>
              <w:rPr>
                <w:rFonts w:ascii="Times New Roman" w:hAnsi="Times New Roman"/>
              </w:rPr>
            </w:pPr>
            <w:r>
              <w:rPr/>
              <w:t xml:space="preserve">For the reasons above, Proposal LMA </w:t>
            </w:r>
            <w:r>
              <w:rPr>
                <w:bCs/>
              </w:rPr>
              <w:t>fails the tests of Justification, Effectiveness, and Consistency with national policy</w:t>
            </w:r>
            <w:r>
              <w:rPr/>
              <w:t xml:space="preserve">. The requested modifications are necessary to ensure the proposal is </w:t>
            </w:r>
            <w:r>
              <w:rPr>
                <w:bCs/>
              </w:rPr>
              <w:t>deliverable, evidence</w:t>
              <w:noBreakHyphen/>
              <w:t>based, and aligned with the NPPF</w:t>
            </w:r>
            <w:r>
              <w:rPr/>
              <w:t>.</w:t>
            </w:r>
          </w:p>
          <w:p>
            <w:pPr>
              <w:pStyle w:val="NormalWeb"/>
              <w:bidi w:val="0"/>
              <w:spacing w:before="100" w:after="100"/>
              <w:rPr>
                <w:rFonts w:ascii="Times New Roman" w:hAnsi="Times New Roman"/>
              </w:rPr>
            </w:pPr>
            <w:r>
              <w:rPr/>
              <w:t>I therefore request that the Inspector recommends modifications to Proposal LMA as set out above.</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auto"/>
    <w:pitch w:val="default"/>
  </w:font>
  <w:font w:name="Liberation Sans">
    <w:altName w:val="Arial"/>
    <w:charset w:val="00"/>
    <w:family w:val="swiss"/>
    <w:pitch w:val="variable"/>
  </w:font>
  <w:font w:name="Courier New">
    <w:charset w:val="01"/>
    <w:family w:val="modern"/>
    <w:pitch w:val="fixed"/>
  </w:font>
  <w:font w:name="Wingdings">
    <w:charset w:val="02"/>
    <w:family w:val="auto"/>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1"/>
      <w:lvlJc w:val="left"/>
      <w:pPr>
        <w:tabs>
          <w:tab w:val="num" w:pos="0"/>
        </w:tabs>
        <w:ind w:left="0" w:hanging="0"/>
      </w:pPr>
    </w:lvl>
    <w:lvl w:ilvl="1">
      <w:start w:val="1"/>
      <w:numFmt w:val="none"/>
      <w:pStyle w:val="Heading2"/>
      <w:suff w:val="nothing"/>
      <w:lvlText w:val="%2"/>
      <w:lvlJc w:val="left"/>
      <w:pPr>
        <w:tabs>
          <w:tab w:val="num" w:pos="0"/>
        </w:tabs>
        <w:ind w:left="0" w:hanging="0"/>
      </w:pPr>
    </w:lvl>
    <w:lvl w:ilvl="2">
      <w:start w:val="1"/>
      <w:numFmt w:val="none"/>
      <w:pStyle w:val="Heading3"/>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Setting w:name="useWord2013TrackBottomHyphenation"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en-GB" w:eastAsia="en-US"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DefaultParagraphFont">
    <w:name w:val="Default Paragraph Font"/>
    <w:qFormat/>
    <w:rPr/>
  </w:style>
  <w:style w:type="character" w:styleId="BodyTextChar">
    <w:name w:val="Body Text Char"/>
    <w:basedOn w:val="DefaultParagraphFont"/>
    <w:qFormat/>
    <w:rPr>
      <w:rFonts w:ascii="Verdana" w:hAnsi="Verdana" w:eastAsia="Times New Roman" w:cs="Times New Roman"/>
      <w:szCs w:val="20"/>
      <w:lang w:eastAsia="en-GB"/>
    </w:rPr>
  </w:style>
  <w:style w:type="character" w:styleId="CommentReference">
    <w:name w:val="annotation reference"/>
    <w:basedOn w:val="DefaultParagraphFont"/>
    <w:qFormat/>
    <w:rPr>
      <w:sz w:val="16"/>
      <w:szCs w:val="16"/>
    </w:rPr>
  </w:style>
  <w:style w:type="character" w:styleId="CommentTextChar">
    <w:name w:val="Comment Text Char"/>
    <w:basedOn w:val="DefaultParagraphFont"/>
    <w:link w:val="CommentText"/>
    <w:qFormat/>
    <w:rPr>
      <w:rFonts w:ascii="Times New Roman" w:hAnsi="Times New Roman" w:eastAsia="Times New Roman" w:cs="Times New Roman"/>
      <w:sz w:val="20"/>
      <w:szCs w:val="20"/>
      <w:lang w:eastAsia="en-GB"/>
    </w:rPr>
  </w:style>
  <w:style w:type="character" w:styleId="CommentSubjectChar">
    <w:name w:val="Comment Subject Char"/>
    <w:basedOn w:val="CommentTextChar"/>
    <w:link w:val="annotationsubject"/>
    <w:qFormat/>
    <w:rPr>
      <w:rFonts w:ascii="Times New Roman" w:hAnsi="Times New Roman" w:eastAsia="Times New Roman" w:cs="Times New Roman"/>
      <w:b/>
      <w:bCs/>
      <w:sz w:val="20"/>
      <w:szCs w:val="20"/>
      <w:lang w:eastAsia="en-GB"/>
    </w:rPr>
  </w:style>
  <w:style w:type="character" w:styleId="Hyperlink">
    <w:name w:val="Hyperlink"/>
    <w:basedOn w:val="DefaultParagraphFont"/>
    <w:rPr>
      <w:color w:themeColor="hyperlink" w:val="0563C1"/>
      <w:u w:val="single"/>
    </w:rPr>
  </w:style>
  <w:style w:type="character" w:styleId="HeaderChar">
    <w:name w:val="Header Char"/>
    <w:basedOn w:val="DefaultParagraphFont"/>
    <w:link w:val="Header"/>
    <w:qFormat/>
    <w:rPr>
      <w:rFonts w:ascii="Times New Roman" w:hAnsi="Times New Roman" w:eastAsia="Times New Roman" w:cs="Times New Roman"/>
      <w:sz w:val="24"/>
      <w:szCs w:val="24"/>
      <w:lang w:eastAsia="en-GB"/>
    </w:rPr>
  </w:style>
  <w:style w:type="character" w:styleId="FooterChar">
    <w:name w:val="Footer Char"/>
    <w:basedOn w:val="DefaultParagraphFont"/>
    <w:link w:val="Footer"/>
    <w:qFormat/>
    <w:rPr>
      <w:rFonts w:ascii="Times New Roman" w:hAnsi="Times New Roman" w:eastAsia="Times New Roman" w:cs="Times New Roman"/>
      <w:sz w:val="24"/>
      <w:szCs w:val="24"/>
      <w:lang w:eastAsia="en-GB"/>
    </w:rPr>
  </w:style>
  <w:style w:type="character" w:styleId="Strong">
    <w:name w:val="Strong"/>
    <w:qFormat/>
    <w:rPr>
      <w:b/>
      <w:b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pPr/>
    <w:rPr>
      <w:sz w:val="20"/>
      <w:szCs w:val="20"/>
    </w:rPr>
  </w:style>
  <w:style w:type="paragraph" w:styleId="annotationsubject">
    <w:name w:val="annotation subject"/>
    <w:basedOn w:val="CommentText"/>
    <w:next w:val="CommentText"/>
    <w:link w:val="CommentSubjectChar"/>
    <w:qFormat/>
    <w:pPr/>
    <w:rPr>
      <w:b/>
      <w:bCs/>
    </w:rPr>
  </w:style>
  <w:style w:type="paragraph" w:styleId="HeaderandFooter">
    <w:name w:val="Header and Footer"/>
    <w:basedOn w:val="Normal"/>
    <w:qFormat/>
    <w:pPr/>
    <w:rPr/>
  </w:style>
  <w:style w:type="paragraph" w:styleId="Header">
    <w:name w:val="header"/>
    <w:basedOn w:val="Normal"/>
    <w:link w:val="HeaderChar"/>
    <w:pPr>
      <w:tabs>
        <w:tab w:val="clear" w:pos="720"/>
        <w:tab w:val="center" w:pos="4513" w:leader="none"/>
        <w:tab w:val="right" w:pos="9026" w:leader="none"/>
      </w:tabs>
    </w:pPr>
    <w:rPr/>
  </w:style>
  <w:style w:type="paragraph" w:styleId="Footer">
    <w:name w:val="footer"/>
    <w:basedOn w:val="Normal"/>
    <w:link w:val="FooterChar"/>
    <w:pPr>
      <w:tabs>
        <w:tab w:val="clear" w:pos="720"/>
        <w:tab w:val="center" w:pos="4513" w:leader="none"/>
        <w:tab w:val="right" w:pos="9026" w:leader="none"/>
      </w:tabs>
    </w:pPr>
    <w:rPr/>
  </w:style>
  <w:style w:type="paragraph" w:styleId="NormalWeb">
    <w:name w:val="Normal (Web)"/>
    <w:basedOn w:val="Normal"/>
    <w:qFormat/>
    <w:pPr>
      <w:widowControl/>
      <w:spacing w:before="100" w:after="100"/>
      <w:ind w:hanging="0" w:left="0" w:right="0"/>
      <w:jc w:val="left"/>
      <w:textAlignment w:val="auto"/>
    </w:pPr>
    <w:rPr>
      <w:rFonts w:cs="Times New Roman"/>
      <w:sz w:val="24"/>
      <w:szCs w:val="24"/>
      <w:lang w:val="en-GB" w:eastAsia="en-GB" w:bidi="ar-SA"/>
    </w:rPr>
  </w:style>
  <w:style w:type="paragraph" w:styleId="TableContents">
    <w:name w:val="Table Contents"/>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21</TotalTime>
  <Application>LibreOffice/26.2.5.2$Windows_X86_64 LibreOffice_project/cd7284b4cbbfeb507e630c1aac019f4157393acb</Application>
  <AppVersion>15.0000</AppVersion>
  <Pages>8</Pages>
  <Words>1721</Words>
  <Characters>9914</Characters>
  <CharactersWithSpaces>11447</CharactersWithSpaces>
  <Paragraphs>181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2026-08-28T22:45:07Z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