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t>X</w:t>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2974"/>
        <w:gridCol w:w="36"/>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2974"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ID.5</w:t>
            </w:r>
          </w:p>
          <w:p>
            <w:pPr>
              <w:pStyle w:val="Normal"/>
              <w:rPr>
                <w:rFonts w:ascii="Arial" w:hAnsi="Arial" w:cs="Arial"/>
              </w:rPr>
            </w:pPr>
            <w:r>
              <w:rPr>
                <w:rFonts w:cs="Arial" w:ascii="Arial" w:hAnsi="Arial"/>
              </w:rPr>
              <w:t>ID Polices</w:t>
            </w:r>
          </w:p>
        </w:tc>
        <w:tc>
          <w:tcPr>
            <w:tcW w:w="36"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2974"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36"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2974"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Environmental Assessment of Plans ans Programmes Regulations 2004</w:t>
            </w:r>
          </w:p>
        </w:tc>
        <w:tc>
          <w:tcPr>
            <w:tcW w:w="36"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2974" w:type="dxa"/>
            <w:tcBorders>
              <w:top w:val="single" w:sz="8" w:space="0" w:color="000000"/>
            </w:tcBorders>
          </w:tcPr>
          <w:p>
            <w:pPr>
              <w:pStyle w:val="Normal"/>
              <w:rPr>
                <w:rFonts w:ascii="Arial" w:hAnsi="Arial" w:cs="Arial"/>
              </w:rPr>
            </w:pPr>
            <w:r>
              <w:rPr>
                <w:rFonts w:cs="Arial" w:ascii="Arial" w:hAnsi="Arial"/>
              </w:rPr>
            </w:r>
          </w:p>
        </w:tc>
        <w:tc>
          <w:tcPr>
            <w:tcW w:w="36"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widowControl/>
              <w:spacing w:before="0" w:after="0"/>
              <w:jc w:val="left"/>
              <w:rPr>
                <w:rFonts w:ascii="Arial" w:hAnsi="Arial" w:cs="Arial"/>
              </w:rPr>
            </w:pPr>
            <w:r>
              <w:rPr>
                <w:rFonts w:cs="Arial" w:ascii="Arial" w:hAnsi="Arial"/>
                <w:sz w:val="22"/>
              </w:rPr>
              <w:t xml:space="preserve">There are failures in </w:t>
            </w:r>
            <w:r>
              <w:rPr>
                <w:rFonts w:eastAsia="Times New Roman" w:cs="Arial" w:ascii="Arial" w:hAnsi="Arial"/>
                <w:color w:val="auto"/>
                <w:kern w:val="0"/>
                <w:sz w:val="22"/>
                <w:szCs w:val="24"/>
                <w:lang w:val="en-GB" w:eastAsia="en-GB" w:bidi="ar-SA"/>
              </w:rPr>
              <w:t>SEA (</w:t>
            </w:r>
            <w:r>
              <w:rPr>
                <w:rStyle w:val="Strong"/>
                <w:rFonts w:eastAsia="Times New Roman" w:cs="Arial" w:ascii="Arial" w:hAnsi="Arial"/>
                <w:b w:val="false"/>
                <w:bCs w:val="false"/>
                <w:color w:val="auto"/>
                <w:kern w:val="0"/>
                <w:sz w:val="22"/>
                <w:szCs w:val="24"/>
                <w:lang w:val="en-GB" w:eastAsia="en-GB" w:bidi="ar-SA"/>
              </w:rPr>
              <w:t>Strategic Environmental Assessment)</w:t>
            </w:r>
            <w:r>
              <w:rPr>
                <w:rFonts w:eastAsia="Times New Roman" w:cs="Arial" w:ascii="Arial" w:hAnsi="Arial"/>
                <w:color w:val="auto"/>
                <w:kern w:val="0"/>
                <w:sz w:val="22"/>
                <w:szCs w:val="24"/>
                <w:lang w:val="en-GB" w:eastAsia="en-GB" w:bidi="ar-SA"/>
              </w:rPr>
              <w:t xml:space="preserve">, </w:t>
            </w:r>
            <w:r>
              <w:rPr>
                <w:rFonts w:cs="Arial" w:ascii="Arial" w:hAnsi="Arial"/>
                <w:sz w:val="22"/>
              </w:rPr>
              <w:t xml:space="preserve">SA </w:t>
            </w:r>
            <w:r>
              <w:rPr>
                <w:rFonts w:cs="Arial" w:ascii="Arial" w:hAnsi="Arial"/>
                <w:sz w:val="22"/>
              </w:rPr>
              <w:t>(Sustainability Appraisal)</w:t>
            </w:r>
            <w:r>
              <w:rPr>
                <w:rFonts w:cs="Arial" w:ascii="Arial" w:hAnsi="Arial"/>
                <w:sz w:val="22"/>
              </w:rPr>
              <w:t xml:space="preserve"> </w:t>
            </w:r>
            <w:r>
              <w:rPr>
                <w:rFonts w:cs="Arial" w:ascii="Arial" w:hAnsi="Arial"/>
                <w:sz w:val="22"/>
              </w:rPr>
              <w:t xml:space="preserve">and the </w:t>
            </w:r>
            <w:r>
              <w:rPr>
                <w:rFonts w:cs="Arial" w:ascii="Arial" w:hAnsi="Arial"/>
                <w:sz w:val="22"/>
              </w:rPr>
              <w:t>Regulat</w:t>
            </w:r>
            <w:r>
              <w:rPr>
                <w:rFonts w:cs="Arial" w:ascii="Arial" w:hAnsi="Arial"/>
                <w:b/>
                <w:bCs/>
                <w:sz w:val="22"/>
              </w:rPr>
              <w:t>i</w:t>
            </w:r>
            <w:r>
              <w:rPr>
                <w:rFonts w:cs="Arial" w:ascii="Arial" w:hAnsi="Arial"/>
                <w:b w:val="false"/>
                <w:bCs w:val="false"/>
                <w:sz w:val="22"/>
              </w:rPr>
              <w:t>on 18</w:t>
            </w:r>
            <w:r>
              <w:rPr>
                <w:rFonts w:cs="Arial" w:ascii="Arial" w:hAnsi="Arial"/>
                <w:b/>
                <w:bCs/>
                <w:sz w:val="22"/>
              </w:rPr>
              <w:t xml:space="preserve"> </w:t>
            </w:r>
            <w:r>
              <w:rPr>
                <w:rFonts w:cs="Arial" w:ascii="Arial" w:hAnsi="Arial"/>
                <w:sz w:val="22"/>
              </w:rPr>
              <w:t>consultation.  These collectively render the LMA allocation not legally compliant and so its should be found not sound at Examination.</w:t>
            </w:r>
          </w:p>
          <w:p>
            <w:pPr>
              <w:pStyle w:val="Normal"/>
              <w:widowControl/>
              <w:spacing w:before="0" w:after="0"/>
              <w:jc w:val="left"/>
              <w:rPr>
                <w:rFonts w:ascii="Arial" w:hAnsi="Arial" w:cs="Arial"/>
              </w:rPr>
            </w:pPr>
            <w:r>
              <w:rPr>
                <w:rFonts w:cs="Arial" w:ascii="Arial" w:hAnsi="Arial"/>
                <w:sz w:val="22"/>
              </w:rPr>
            </w:r>
          </w:p>
          <w:p>
            <w:pPr>
              <w:pStyle w:val="Normal"/>
              <w:widowControl/>
              <w:spacing w:before="0" w:after="0"/>
              <w:jc w:val="left"/>
              <w:rPr>
                <w:rFonts w:ascii="Arial" w:hAnsi="Arial" w:cs="Arial"/>
              </w:rPr>
            </w:pPr>
            <w:r>
              <w:rPr>
                <w:rFonts w:cs="Arial" w:ascii="Arial" w:hAnsi="Arial"/>
                <w:sz w:val="22"/>
              </w:rPr>
              <w:t>1.  The SEA is legally required to a</w:t>
            </w:r>
            <w:r>
              <w:rPr>
                <w:rFonts w:cs="Arial" w:ascii="Arial" w:hAnsi="Arial"/>
                <w:sz w:val="22"/>
              </w:rPr>
              <w:t>ss</w:t>
            </w:r>
            <w:r>
              <w:rPr>
                <w:rFonts w:cs="Arial" w:ascii="Arial" w:hAnsi="Arial"/>
                <w:sz w:val="22"/>
              </w:rPr>
              <w:t>ess reasonable alternatives, cumulative environmental effects and strategic infrastructure integral to the plan.  The Stratford Bypass is described as needed to enable LMA, but it was:</w:t>
            </w:r>
          </w:p>
          <w:p>
            <w:pPr>
              <w:pStyle w:val="Normal"/>
              <w:widowControl/>
              <w:spacing w:before="0" w:after="0"/>
              <w:jc w:val="left"/>
              <w:rPr>
                <w:rFonts w:ascii="Arial" w:hAnsi="Arial" w:cs="Arial"/>
              </w:rPr>
            </w:pPr>
            <w:r>
              <w:rPr>
                <w:rFonts w:cs="Arial" w:ascii="Arial" w:hAnsi="Arial"/>
                <w:sz w:val="22"/>
              </w:rPr>
            </w:r>
          </w:p>
          <w:p>
            <w:pPr>
              <w:pStyle w:val="Normal"/>
              <w:widowControl/>
              <w:numPr>
                <w:ilvl w:val="0"/>
                <w:numId w:val="2"/>
              </w:numPr>
              <w:spacing w:before="0" w:after="0"/>
              <w:jc w:val="left"/>
              <w:rPr>
                <w:rFonts w:ascii="Arial" w:hAnsi="Arial" w:cs="Arial"/>
                <w:sz w:val="22"/>
              </w:rPr>
            </w:pPr>
            <w:r>
              <w:rPr>
                <w:rFonts w:cs="Arial" w:ascii="Arial" w:hAnsi="Arial"/>
                <w:sz w:val="22"/>
              </w:rPr>
              <w:t>not defined at Regulation 18,</w:t>
            </w:r>
          </w:p>
          <w:p>
            <w:pPr>
              <w:pStyle w:val="Normal"/>
              <w:widowControl/>
              <w:numPr>
                <w:ilvl w:val="0"/>
                <w:numId w:val="2"/>
              </w:numPr>
              <w:spacing w:before="0" w:after="0"/>
              <w:jc w:val="left"/>
              <w:rPr>
                <w:rFonts w:ascii="Arial" w:hAnsi="Arial" w:cs="Arial"/>
                <w:sz w:val="22"/>
              </w:rPr>
            </w:pPr>
            <w:r>
              <w:rPr>
                <w:rFonts w:cs="Arial" w:ascii="Arial" w:hAnsi="Arial"/>
                <w:sz w:val="22"/>
              </w:rPr>
              <w:t>not assessed in the SEA,</w:t>
            </w:r>
          </w:p>
          <w:p>
            <w:pPr>
              <w:pStyle w:val="Normal"/>
              <w:widowControl/>
              <w:numPr>
                <w:ilvl w:val="0"/>
                <w:numId w:val="2"/>
              </w:numPr>
              <w:spacing w:before="0" w:after="0"/>
              <w:jc w:val="left"/>
              <w:rPr>
                <w:rFonts w:ascii="Arial" w:hAnsi="Arial" w:cs="Arial"/>
                <w:sz w:val="22"/>
              </w:rPr>
            </w:pPr>
            <w:r>
              <w:rPr>
                <w:rFonts w:cs="Arial" w:ascii="Arial" w:hAnsi="Arial"/>
                <w:sz w:val="22"/>
              </w:rPr>
              <w:t>has not been evaluated against reasonable alternatives</w:t>
            </w:r>
          </w:p>
          <w:p>
            <w:pPr>
              <w:pStyle w:val="Normal"/>
              <w:widowControl/>
              <w:numPr>
                <w:ilvl w:val="0"/>
                <w:numId w:val="2"/>
              </w:numPr>
              <w:spacing w:before="0" w:after="0"/>
              <w:jc w:val="left"/>
              <w:rPr>
                <w:rFonts w:ascii="Arial" w:hAnsi="Arial" w:cs="Arial"/>
                <w:sz w:val="22"/>
              </w:rPr>
            </w:pPr>
            <w:r>
              <w:rPr>
                <w:rFonts w:cs="Arial" w:ascii="Arial" w:hAnsi="Arial"/>
                <w:sz w:val="22"/>
              </w:rPr>
              <w:t>has not been assessed cumulatively with LMA and additional housing at Quinton, Mickleton and Long Marston,</w:t>
            </w:r>
          </w:p>
          <w:p>
            <w:pPr>
              <w:pStyle w:val="Normal"/>
              <w:widowControl/>
              <w:numPr>
                <w:ilvl w:val="0"/>
                <w:numId w:val="2"/>
              </w:numPr>
              <w:spacing w:before="0" w:after="0"/>
              <w:jc w:val="left"/>
              <w:rPr>
                <w:rFonts w:ascii="Arial" w:hAnsi="Arial" w:cs="Arial"/>
                <w:sz w:val="22"/>
              </w:rPr>
            </w:pPr>
            <w:r>
              <w:rPr>
                <w:rFonts w:cs="Arial" w:ascii="Arial" w:hAnsi="Arial"/>
                <w:sz w:val="22"/>
              </w:rPr>
              <w:t>Has not been assessed for landscape, heritage, ecological or carbon impacts.</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The bypass is stated as essential for the delivery of LMA.  The SEA failure to assess the Bypass is a breach of Regulation 12 (environmental effects and reasonable alternatives).  Currently the SEA does not meet legal requirements.</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2) The SA (Sustainability Appraisal) should show that the preferred strategy is the most sustainable when compared with reasonable alternatives.  It fails to do so because:</w:t>
            </w:r>
          </w:p>
          <w:p>
            <w:pPr>
              <w:pStyle w:val="Normal"/>
              <w:widowControl/>
              <w:spacing w:before="0" w:after="0"/>
              <w:jc w:val="left"/>
              <w:rPr>
                <w:rFonts w:ascii="Arial" w:hAnsi="Arial" w:cs="Arial"/>
                <w:sz w:val="22"/>
              </w:rPr>
            </w:pPr>
            <w:r>
              <w:rPr>
                <w:rFonts w:cs="Arial" w:ascii="Arial" w:hAnsi="Arial"/>
                <w:sz w:val="22"/>
              </w:rPr>
            </w:r>
          </w:p>
          <w:p>
            <w:pPr>
              <w:pStyle w:val="Normal"/>
              <w:widowControl/>
              <w:numPr>
                <w:ilvl w:val="0"/>
                <w:numId w:val="3"/>
              </w:numPr>
              <w:spacing w:before="0" w:after="0"/>
              <w:jc w:val="left"/>
              <w:rPr>
                <w:rFonts w:ascii="Arial" w:hAnsi="Arial" w:cs="Arial"/>
                <w:sz w:val="22"/>
              </w:rPr>
            </w:pPr>
            <w:r>
              <w:rPr>
                <w:rFonts w:cs="Arial" w:ascii="Arial" w:hAnsi="Arial"/>
                <w:sz w:val="22"/>
              </w:rPr>
              <w:t>it does not assess the cumulative impacts of the LMA and the Bypass</w:t>
            </w:r>
          </w:p>
          <w:p>
            <w:pPr>
              <w:pStyle w:val="Normal"/>
              <w:widowControl/>
              <w:numPr>
                <w:ilvl w:val="0"/>
                <w:numId w:val="3"/>
              </w:numPr>
              <w:spacing w:before="0" w:after="0"/>
              <w:jc w:val="left"/>
              <w:rPr>
                <w:rFonts w:ascii="Arial" w:hAnsi="Arial" w:cs="Arial"/>
                <w:sz w:val="22"/>
              </w:rPr>
            </w:pPr>
            <w:r>
              <w:rPr>
                <w:rFonts w:cs="Arial" w:ascii="Arial" w:hAnsi="Arial"/>
                <w:sz w:val="22"/>
              </w:rPr>
              <w:t>it assumes unfunded and unplanned infrastructure will solve accessibility issues contrary to SA and NPPF requirements to prioritise locations with existing sustainable transport capacity.</w:t>
            </w:r>
          </w:p>
          <w:p>
            <w:pPr>
              <w:pStyle w:val="Normal"/>
              <w:widowControl/>
              <w:numPr>
                <w:ilvl w:val="0"/>
                <w:numId w:val="0"/>
              </w:numPr>
              <w:spacing w:before="0" w:after="0"/>
              <w:ind w:hanging="0" w:left="72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The SA therefore fails to justify LMA and is not legally compliant.</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3) Regulation 18 Consultation Failure</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Regulation 18 requires consultation on the plan’s content and all reasonable strategic options, including required major infrastructure needed to deliver a plan.  The Stratford Bypass was:</w:t>
            </w:r>
          </w:p>
          <w:p>
            <w:pPr>
              <w:pStyle w:val="Normal"/>
              <w:widowControl/>
              <w:spacing w:before="0" w:after="0"/>
              <w:jc w:val="left"/>
              <w:rPr>
                <w:rFonts w:ascii="Arial" w:hAnsi="Arial" w:cs="Arial"/>
                <w:sz w:val="22"/>
              </w:rPr>
            </w:pPr>
            <w:r>
              <w:rPr>
                <w:rFonts w:cs="Arial" w:ascii="Arial" w:hAnsi="Arial"/>
                <w:sz w:val="22"/>
              </w:rPr>
            </w:r>
          </w:p>
          <w:p>
            <w:pPr>
              <w:pStyle w:val="Normal"/>
              <w:widowControl/>
              <w:numPr>
                <w:ilvl w:val="0"/>
                <w:numId w:val="4"/>
              </w:numPr>
              <w:spacing w:before="0" w:after="0"/>
              <w:jc w:val="left"/>
              <w:rPr>
                <w:rFonts w:ascii="Arial" w:hAnsi="Arial" w:cs="Arial"/>
                <w:sz w:val="22"/>
              </w:rPr>
            </w:pPr>
            <w:r>
              <w:rPr>
                <w:rFonts w:cs="Arial" w:ascii="Arial" w:hAnsi="Arial"/>
                <w:sz w:val="22"/>
              </w:rPr>
              <w:t>not defined at Regulation 18.  It is still undefined,</w:t>
            </w:r>
          </w:p>
          <w:p>
            <w:pPr>
              <w:pStyle w:val="Normal"/>
              <w:widowControl/>
              <w:numPr>
                <w:ilvl w:val="0"/>
                <w:numId w:val="4"/>
              </w:numPr>
              <w:spacing w:before="0" w:after="0"/>
              <w:jc w:val="left"/>
              <w:rPr>
                <w:rFonts w:ascii="Arial" w:hAnsi="Arial" w:cs="Arial"/>
                <w:sz w:val="22"/>
              </w:rPr>
            </w:pPr>
            <w:r>
              <w:rPr>
                <w:rFonts w:cs="Arial" w:ascii="Arial" w:hAnsi="Arial"/>
                <w:sz w:val="22"/>
              </w:rPr>
              <w:t>not presented as a reasonable alternative,</w:t>
            </w:r>
          </w:p>
          <w:p>
            <w:pPr>
              <w:pStyle w:val="Normal"/>
              <w:widowControl/>
              <w:numPr>
                <w:ilvl w:val="0"/>
                <w:numId w:val="4"/>
              </w:numPr>
              <w:spacing w:before="0" w:after="0"/>
              <w:jc w:val="left"/>
              <w:rPr>
                <w:rFonts w:ascii="Arial" w:hAnsi="Arial" w:cs="Arial"/>
                <w:sz w:val="22"/>
              </w:rPr>
            </w:pPr>
            <w:r>
              <w:rPr>
                <w:rFonts w:cs="Arial" w:ascii="Arial" w:hAnsi="Arial"/>
                <w:sz w:val="22"/>
              </w:rPr>
              <w:t>not consulted on in terms of necessity, route, landtake, environmental impacts or alternatives,</w:t>
            </w:r>
          </w:p>
          <w:p>
            <w:pPr>
              <w:pStyle w:val="Normal"/>
              <w:widowControl/>
              <w:numPr>
                <w:ilvl w:val="0"/>
                <w:numId w:val="4"/>
              </w:numPr>
              <w:spacing w:before="0" w:after="0"/>
              <w:jc w:val="left"/>
              <w:rPr>
                <w:rFonts w:ascii="Arial" w:hAnsi="Arial" w:cs="Arial"/>
                <w:sz w:val="22"/>
              </w:rPr>
            </w:pPr>
            <w:r>
              <w:rPr>
                <w:rFonts w:cs="Arial" w:ascii="Arial" w:hAnsi="Arial"/>
                <w:sz w:val="22"/>
              </w:rPr>
              <w:t xml:space="preserve">was not included in the cumulative environmental impact assessments for LMA and other developments </w:t>
            </w:r>
            <w:r>
              <w:rPr>
                <w:rFonts w:cs="Arial" w:ascii="Arial" w:hAnsi="Arial"/>
                <w:sz w:val="22"/>
              </w:rPr>
              <w:t>South of Stratford</w:t>
            </w:r>
            <w:r>
              <w:rPr>
                <w:rFonts w:cs="Arial" w:ascii="Arial" w:hAnsi="Arial"/>
                <w:sz w:val="22"/>
              </w:rPr>
              <w:t>.</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t>So it has not been possible to comment on this key component of LMA at the correct stage.  This is a Regulation 18 failure that undermines the legality of the spatial strategy and the LMA allocation.</w:t>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sz w:val="22"/>
              </w:rPr>
            </w:pPr>
            <w:r>
              <w:rPr>
                <w:rFonts w:cs="Arial" w:ascii="Arial" w:hAnsi="Arial"/>
                <w:sz w:val="22"/>
              </w:rPr>
            </w:r>
          </w:p>
          <w:p>
            <w:pPr>
              <w:pStyle w:val="Normal"/>
              <w:widowControl/>
              <w:spacing w:before="0" w:after="0"/>
              <w:jc w:val="left"/>
              <w:rPr>
                <w:rFonts w:ascii="Arial" w:hAnsi="Arial" w:cs="Arial"/>
              </w:rPr>
            </w:pPr>
            <w:r>
              <w:rPr>
                <w:rFonts w:cs="Arial" w:ascii="Arial" w:hAnsi="Arial"/>
                <w:sz w:val="22"/>
              </w:rPr>
            </w:r>
          </w:p>
          <w:p>
            <w:pPr>
              <w:pStyle w:val="Normal"/>
              <w:widowControl/>
              <w:spacing w:before="0" w:after="0"/>
              <w:jc w:val="left"/>
              <w:rPr>
                <w:rFonts w:ascii="Arial" w:hAnsi="Arial" w:cs="Arial"/>
              </w:rPr>
            </w:pPr>
            <w:r>
              <w:rPr>
                <w:rFonts w:cs="Arial" w:ascii="Arial" w:hAnsi="Arial"/>
                <w:sz w:val="22"/>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Remove LMA site from the SWLP.</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
    <w:name w:val="Bullets"/>
    <w:qFormat/>
    <w:rPr>
      <w:rFonts w:ascii="OpenSymbol" w:hAnsi="OpenSymbol" w:eastAsia="OpenSymbol" w:cs="OpenSymbol"/>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Application>LibreOffice/26.2.5.2$Windows_X86_64 LibreOffice_project/cd7284b4cbbfeb507e630c1aac019f4157393acb</Application>
  <AppVersion>15.0000</AppVersion>
  <Pages>6</Pages>
  <Words>1196</Words>
  <Characters>6398</Characters>
  <CharactersWithSpaces>7504</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2026-08-28T20:23:07Z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