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rPr/>
            </w:pPr>
            <w:r>
              <w:rPr/>
            </w:r>
          </w:p>
        </w:tc>
        <w:tc>
          <w:tcPr>
            <w:tcW w:w="5509" w:type="dxa"/>
            <w:gridSpan w:val="6"/>
            <w:vMerge w:val="continue"/>
            <w:tcBorders/>
            <w:vAlign w:val="center"/>
          </w:tcPr>
          <w:p>
            <w:pPr>
              <w:pStyle w:val="Normal"/>
              <w:rPr/>
            </w:pPr>
            <w:r>
              <w:rPr/>
            </w:r>
          </w:p>
        </w:tc>
        <w:tc>
          <w:tcPr>
            <w:tcW w:w="1376" w:type="dxa"/>
            <w:gridSpan w:val="2"/>
            <w:vMerge w:val="continue"/>
            <w:tcBorders/>
            <w:vAlign w:val="center"/>
          </w:tcPr>
          <w:p>
            <w:pPr>
              <w:pStyle w:val="Normal"/>
              <w:rPr/>
            </w:pPr>
            <w:r>
              <w:rPr/>
            </w:r>
          </w:p>
        </w:tc>
      </w:tr>
      <w:tr>
        <w:trPr>
          <w:trHeight w:val="276" w:hRule="atLeast"/>
          <w:cantSplit/>
        </w:trPr>
        <w:tc>
          <w:tcPr>
            <w:tcW w:w="2161" w:type="dxa"/>
            <w:gridSpan w:val="2"/>
            <w:vMerge w:val="continue"/>
            <w:tcBorders/>
            <w:vAlign w:val="bottom"/>
          </w:tcPr>
          <w:p>
            <w:pPr>
              <w:pStyle w:val="Normal"/>
              <w:rPr/>
            </w:pPr>
            <w:r>
              <w:rPr/>
            </w:r>
          </w:p>
        </w:tc>
        <w:tc>
          <w:tcPr>
            <w:tcW w:w="5509" w:type="dxa"/>
            <w:gridSpan w:val="6"/>
            <w:vMerge w:val="continue"/>
            <w:tcBorders/>
            <w:vAlign w:val="center"/>
          </w:tcPr>
          <w:p>
            <w:pPr>
              <w:pStyle w:val="Normal"/>
              <w:rPr/>
            </w:pPr>
            <w:r>
              <w:rPr/>
            </w:r>
          </w:p>
        </w:tc>
        <w:tc>
          <w:tcPr>
            <w:tcW w:w="1376" w:type="dxa"/>
            <w:gridSpan w:val="2"/>
            <w:vMerge w:val="continue"/>
            <w:tcBorders/>
            <w:vAlign w:val="center"/>
          </w:tcPr>
          <w:p>
            <w:pPr>
              <w:pStyle w:val="Normal"/>
              <w:rPr/>
            </w:pPr>
            <w:r>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3"/>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3"/>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W w:w="8364" w:type="dxa"/>
        <w:jc w:val="left"/>
        <w:tblInd w:w="108" w:type="dxa"/>
        <w:tblLayout w:type="fixed"/>
        <w:tblCellMar>
          <w:top w:w="0" w:type="dxa"/>
          <w:left w:w="108" w:type="dxa"/>
          <w:bottom w:w="0" w:type="dxa"/>
          <w:right w:w="108" w:type="dxa"/>
        </w:tblCellMar>
      </w:tblPr>
      <w:tblGrid>
        <w:gridCol w:w="7508"/>
        <w:gridCol w:w="856"/>
      </w:tblGrid>
      <w:tr>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835" w:type="dxa"/>
        <w:jc w:val="left"/>
        <w:tblInd w:w="108" w:type="dxa"/>
        <w:tblLayout w:type="fixed"/>
        <w:tblCellMar>
          <w:top w:w="0" w:type="dxa"/>
          <w:left w:w="108" w:type="dxa"/>
          <w:bottom w:w="0" w:type="dxa"/>
          <w:right w:w="108" w:type="dxa"/>
        </w:tblCellMar>
      </w:tblPr>
      <w:tblGrid>
        <w:gridCol w:w="7507"/>
        <w:gridCol w:w="1328"/>
      </w:tblGrid>
      <w:tr>
        <w:trPr>
          <w:trHeight w:val="433" w:hRule="atLeast"/>
        </w:trPr>
        <w:tc>
          <w:tcPr>
            <w:tcW w:w="7507"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Pr>
      <w:tblGrid>
        <w:gridCol w:w="1631"/>
        <w:gridCol w:w="1102"/>
        <w:gridCol w:w="1718"/>
        <w:gridCol w:w="2314"/>
        <w:gridCol w:w="696"/>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2314"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DS.4</w:t>
            </w:r>
          </w:p>
          <w:p>
            <w:pPr>
              <w:pStyle w:val="Normal"/>
              <w:rPr>
                <w:rFonts w:ascii="Arial" w:hAnsi="Arial" w:cs="Arial"/>
              </w:rPr>
            </w:pPr>
            <w:r>
              <w:rPr>
                <w:rFonts w:cs="Arial" w:ascii="Arial" w:hAnsi="Arial"/>
              </w:rPr>
              <w:t>HO Policies</w:t>
            </w:r>
          </w:p>
          <w:p>
            <w:pPr>
              <w:pStyle w:val="Normal"/>
              <w:rPr>
                <w:rFonts w:ascii="Arial" w:hAnsi="Arial" w:cs="Arial"/>
              </w:rPr>
            </w:pPr>
            <w:r>
              <w:rPr>
                <w:rFonts w:cs="Arial" w:ascii="Arial" w:hAnsi="Arial"/>
              </w:rPr>
              <w:t>BN Policies</w:t>
            </w:r>
          </w:p>
          <w:p>
            <w:pPr>
              <w:pStyle w:val="Normal"/>
              <w:rPr>
                <w:rFonts w:ascii="Arial" w:hAnsi="Arial" w:cs="Arial"/>
              </w:rPr>
            </w:pPr>
            <w:r>
              <w:rPr>
                <w:rFonts w:cs="Arial" w:ascii="Arial" w:hAnsi="Arial"/>
              </w:rPr>
              <w:t>ID Policies</w:t>
            </w:r>
          </w:p>
        </w:tc>
        <w:tc>
          <w:tcPr>
            <w:tcW w:w="696"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2314"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696"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2314"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696"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2314" w:type="dxa"/>
            <w:tcBorders>
              <w:top w:val="single" w:sz="8" w:space="0" w:color="000000"/>
            </w:tcBorders>
          </w:tcPr>
          <w:p>
            <w:pPr>
              <w:pStyle w:val="Normal"/>
              <w:rPr>
                <w:rFonts w:ascii="Arial" w:hAnsi="Arial" w:cs="Arial"/>
              </w:rPr>
            </w:pPr>
            <w:r>
              <w:rPr>
                <w:rFonts w:cs="Arial" w:ascii="Arial" w:hAnsi="Arial"/>
              </w:rPr>
            </w:r>
          </w:p>
        </w:tc>
        <w:tc>
          <w:tcPr>
            <w:tcW w:w="696"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W w:w="8542" w:type="dxa"/>
              <w:jc w:val="left"/>
              <w:tblInd w:w="0" w:type="dxa"/>
              <w:tblLayout w:type="fixed"/>
              <w:tblCellMar>
                <w:top w:w="0" w:type="dxa"/>
                <w:left w:w="108" w:type="dxa"/>
                <w:bottom w:w="0" w:type="dxa"/>
                <w:right w:w="108" w:type="dxa"/>
              </w:tblCellMar>
            </w:tblPr>
            <w:tblGrid>
              <w:gridCol w:w="4710"/>
              <w:gridCol w:w="849"/>
              <w:gridCol w:w="994"/>
              <w:gridCol w:w="992"/>
              <w:gridCol w:w="997"/>
            </w:tblGrid>
            <w:tr>
              <w:trPr/>
              <w:tc>
                <w:tcPr>
                  <w:tcW w:w="4710" w:type="dxa"/>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top w:val="single" w:sz="4" w:space="0" w:color="000000"/>
                    <w:left w:val="single" w:sz="8" w:space="0" w:color="000000"/>
                    <w:bottom w:val="single" w:sz="4"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4" w:space="0" w:color="000000"/>
                    <w:left w:val="single" w:sz="8" w:space="0" w:color="000000"/>
                    <w:bottom w:val="single" w:sz="8"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op w:val="single" w:sz="4" w:space="0" w:color="000000"/>
                    <w:bottom w:val="single" w:sz="4"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top w:val="single" w:sz="4" w:space="0" w:color="000000"/>
                    <w:left w:val="single" w:sz="8" w:space="0" w:color="000000"/>
                    <w:bottom w:val="single" w:sz="4"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op w:val="single" w:sz="4"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Regulation 19 Representation – Objection to Proposal LMA (Long Marston Airfield New Community)</w:t>
            </w:r>
          </w:p>
          <w:p>
            <w:pPr>
              <w:pStyle w:val="NormalWeb"/>
              <w:bidi w:val="0"/>
              <w:spacing w:before="100" w:after="100"/>
              <w:rPr>
                <w:rFonts w:ascii="Arial" w:hAnsi="Arial" w:cs="Arial"/>
              </w:rPr>
            </w:pPr>
            <w:r>
              <w:rPr>
                <w:rStyle w:val="Strong"/>
                <w:rFonts w:cs="Arial" w:ascii="Arial" w:hAnsi="Arial"/>
                <w:lang w:val="en-GB" w:eastAsia="en-GB" w:bidi="ar-SA"/>
              </w:rPr>
              <w:t>Grounds: Failure of Soundness – Based on Whether the Plan is Justified, Effective, Consistent with National Policy</w:t>
            </w:r>
            <w:r>
              <w:rPr>
                <w:rFonts w:cs="Arial" w:ascii="Arial" w:hAnsi="Arial"/>
              </w:rPr>
              <w:t xml:space="preserve"> </w:t>
            </w:r>
            <w:r>
              <w:rPr>
                <w:rStyle w:val="Strong"/>
                <w:rFonts w:cs="Arial" w:ascii="Arial" w:hAnsi="Arial"/>
                <w:lang w:val="en-GB" w:eastAsia="en-GB" w:bidi="ar-SA"/>
              </w:rPr>
              <w:t>Topic: Undermining of Established Garden Village Principles</w:t>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1. Summary of Representation</w:t>
            </w:r>
          </w:p>
          <w:p>
            <w:pPr>
              <w:pStyle w:val="NormalWeb"/>
              <w:bidi w:val="0"/>
              <w:spacing w:before="100" w:after="100"/>
              <w:rPr>
                <w:rFonts w:ascii="Arial" w:hAnsi="Arial" w:cs="Arial"/>
              </w:rPr>
            </w:pPr>
            <w:r>
              <w:rPr>
                <w:rFonts w:cs="Arial" w:ascii="Arial" w:hAnsi="Arial"/>
              </w:rPr>
              <w:t>I object to the proposed Long Marston Airfield New Community (</w:t>
            </w:r>
            <w:r>
              <w:rPr>
                <w:rFonts w:cs="Arial" w:ascii="Arial" w:hAnsi="Arial"/>
                <w:b/>
              </w:rPr>
              <w:t>LMA</w:t>
            </w:r>
            <w:r>
              <w:rPr>
                <w:rFonts w:cs="Arial" w:ascii="Arial" w:hAnsi="Arial"/>
              </w:rPr>
              <w:t xml:space="preserve">) on the grounds proposed development </w:t>
            </w:r>
            <w:r>
              <w:rPr>
                <w:rStyle w:val="Strong"/>
                <w:rFonts w:cs="Arial" w:ascii="Arial" w:hAnsi="Arial"/>
                <w:b w:val="false"/>
                <w:lang w:val="en-GB" w:eastAsia="en-GB" w:bidi="ar-SA"/>
              </w:rPr>
              <w:t>undermines the established Garden Village principles</w:t>
            </w:r>
            <w:r>
              <w:rPr>
                <w:rFonts w:cs="Arial" w:ascii="Arial" w:hAnsi="Arial"/>
                <w:b/>
              </w:rPr>
              <w:t xml:space="preserve"> </w:t>
            </w:r>
            <w:r>
              <w:rPr>
                <w:rFonts w:cs="Arial" w:ascii="Arial" w:hAnsi="Arial"/>
              </w:rPr>
              <w:t xml:space="preserve">that underpin the existing Long Marston Airfield planning permission (Phase 1A,1B and subsequent phases) and is contrary to the clear previous commitments to residents by the council regarding the creation of a model Garden village. The Garden Village concept, while not a statutory designation, forms a </w:t>
            </w:r>
            <w:r>
              <w:rPr>
                <w:rStyle w:val="Strong"/>
                <w:rFonts w:cs="Arial" w:ascii="Arial" w:hAnsi="Arial"/>
                <w:b w:val="false"/>
                <w:lang w:val="en-GB" w:eastAsia="en-GB" w:bidi="ar-SA"/>
              </w:rPr>
              <w:t>material planning basis</w:t>
            </w:r>
            <w:r>
              <w:rPr>
                <w:rFonts w:cs="Arial" w:ascii="Arial" w:hAnsi="Arial"/>
              </w:rPr>
              <w:t xml:space="preserve"> for the currently approved development, including its design philosophy, scale, landscape structure, community identity, and infrastructure expectations.</w:t>
            </w:r>
          </w:p>
          <w:p>
            <w:pPr>
              <w:pStyle w:val="NormalWeb"/>
              <w:bidi w:val="0"/>
              <w:spacing w:before="100" w:after="100"/>
              <w:rPr>
                <w:rFonts w:ascii="Arial" w:hAnsi="Arial" w:cs="Arial"/>
              </w:rPr>
            </w:pPr>
            <w:r>
              <w:rPr>
                <w:rFonts w:cs="Arial" w:ascii="Arial" w:hAnsi="Arial"/>
              </w:rPr>
              <w:t xml:space="preserve">The Regulation 19 proposal </w:t>
            </w:r>
            <w:r>
              <w:rPr>
                <w:rStyle w:val="Strong"/>
                <w:rFonts w:cs="Arial" w:ascii="Arial" w:hAnsi="Arial"/>
                <w:b w:val="false"/>
                <w:lang w:val="en-GB" w:eastAsia="en-GB" w:bidi="ar-SA"/>
              </w:rPr>
              <w:t>disregards and overrides</w:t>
            </w:r>
            <w:r>
              <w:rPr>
                <w:rFonts w:cs="Arial" w:ascii="Arial" w:hAnsi="Arial"/>
              </w:rPr>
              <w:t xml:space="preserve"> these principles, resulting in a settlement that is </w:t>
            </w:r>
            <w:r>
              <w:rPr>
                <w:rStyle w:val="Strong"/>
                <w:rFonts w:cs="Arial" w:ascii="Arial" w:hAnsi="Arial"/>
                <w:b w:val="false"/>
                <w:lang w:val="en-GB" w:eastAsia="en-GB" w:bidi="ar-SA"/>
              </w:rPr>
              <w:t>materially different</w:t>
            </w:r>
            <w:r>
              <w:rPr>
                <w:rFonts w:cs="Arial" w:ascii="Arial" w:hAnsi="Arial"/>
              </w:rPr>
              <w:t xml:space="preserve"> in character, scale, and function from the originally approved Garden Village.</w:t>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2. The Relevant Paragraphs in the SWLP are:</w:t>
            </w:r>
          </w:p>
          <w:p>
            <w:pPr>
              <w:pStyle w:val="NormalWeb"/>
              <w:numPr>
                <w:ilvl w:val="0"/>
                <w:numId w:val="13"/>
              </w:numPr>
              <w:tabs>
                <w:tab w:val="left" w:pos="720" w:leader="none"/>
              </w:tabs>
              <w:bidi w:val="0"/>
              <w:spacing w:before="100" w:after="0"/>
              <w:ind w:hanging="360" w:left="720" w:right="0"/>
              <w:rPr/>
            </w:pPr>
            <w:r>
              <w:rPr>
                <w:rStyle w:val="Strong"/>
                <w:rFonts w:cs="Arial" w:ascii="Arial" w:hAnsi="Arial"/>
                <w:lang w:val="en-GB" w:eastAsia="en-GB" w:bidi="ar-SA"/>
              </w:rPr>
              <w:t>Chapter 8, Proposal LMA</w:t>
            </w:r>
            <w:r>
              <w:rPr>
                <w:rFonts w:cs="Arial" w:ascii="Arial" w:hAnsi="Arial"/>
              </w:rPr>
              <w:t xml:space="preserve"> (paras </w:t>
            </w:r>
            <w:r>
              <w:rPr>
                <w:rStyle w:val="Strong"/>
                <w:rFonts w:cs="Arial" w:ascii="Arial" w:hAnsi="Arial"/>
                <w:lang w:val="en-GB" w:eastAsia="en-GB" w:bidi="ar-SA"/>
              </w:rPr>
              <w:t>8.2.1–8.2.82</w:t>
            </w:r>
            <w:r>
              <w:rPr>
                <w:rFonts w:cs="Arial" w:ascii="Arial" w:hAnsi="Arial"/>
              </w:rPr>
              <w:t>) – site description, requirements, design principles, infrastructure, constraints.</w:t>
            </w:r>
          </w:p>
          <w:p>
            <w:pPr>
              <w:pStyle w:val="NormalWeb"/>
              <w:numPr>
                <w:ilvl w:val="0"/>
                <w:numId w:val="13"/>
              </w:numPr>
              <w:tabs>
                <w:tab w:val="left" w:pos="720" w:leader="none"/>
              </w:tabs>
              <w:bidi w:val="0"/>
              <w:spacing w:before="0" w:after="0"/>
              <w:ind w:hanging="360" w:left="720" w:right="0"/>
              <w:rPr/>
            </w:pPr>
            <w:r>
              <w:rPr>
                <w:rStyle w:val="Strong"/>
                <w:rFonts w:cs="Arial" w:ascii="Arial" w:hAnsi="Arial"/>
                <w:lang w:val="en-GB" w:eastAsia="en-GB" w:bidi="ar-SA"/>
              </w:rPr>
              <w:t>DS.4 Strategic Site Principles</w:t>
            </w:r>
            <w:r>
              <w:rPr>
                <w:rFonts w:cs="Arial" w:ascii="Arial" w:hAnsi="Arial"/>
              </w:rPr>
              <w:t xml:space="preserve"> – masterplanning, place</w:t>
              <w:noBreakHyphen/>
              <w:t>making, landscape, transport, climate resilience.</w:t>
            </w:r>
          </w:p>
          <w:p>
            <w:pPr>
              <w:pStyle w:val="NormalWeb"/>
              <w:numPr>
                <w:ilvl w:val="0"/>
                <w:numId w:val="13"/>
              </w:numPr>
              <w:tabs>
                <w:tab w:val="left" w:pos="720" w:leader="none"/>
              </w:tabs>
              <w:bidi w:val="0"/>
              <w:spacing w:before="0" w:after="0"/>
              <w:ind w:hanging="360" w:left="720" w:right="0"/>
              <w:rPr/>
            </w:pPr>
            <w:r>
              <w:rPr>
                <w:rStyle w:val="Strong"/>
                <w:rFonts w:cs="Arial" w:ascii="Arial" w:hAnsi="Arial"/>
                <w:lang w:val="en-GB" w:eastAsia="en-GB" w:bidi="ar-SA"/>
              </w:rPr>
              <w:t>HO policies</w:t>
            </w:r>
            <w:r>
              <w:rPr>
                <w:rFonts w:cs="Arial" w:ascii="Arial" w:hAnsi="Arial"/>
              </w:rPr>
              <w:t xml:space="preserve"> – housing mix, density, specialist housing.</w:t>
            </w:r>
          </w:p>
          <w:p>
            <w:pPr>
              <w:pStyle w:val="NormalWeb"/>
              <w:numPr>
                <w:ilvl w:val="0"/>
                <w:numId w:val="13"/>
              </w:numPr>
              <w:tabs>
                <w:tab w:val="left" w:pos="720" w:leader="none"/>
              </w:tabs>
              <w:bidi w:val="0"/>
              <w:spacing w:before="0" w:after="0"/>
              <w:ind w:hanging="360" w:left="720" w:right="0"/>
              <w:rPr/>
            </w:pPr>
            <w:r>
              <w:rPr>
                <w:rStyle w:val="Strong"/>
                <w:rFonts w:cs="Arial" w:ascii="Arial" w:hAnsi="Arial"/>
                <w:lang w:val="en-GB" w:eastAsia="en-GB" w:bidi="ar-SA"/>
              </w:rPr>
              <w:t>BN policies</w:t>
            </w:r>
            <w:r>
              <w:rPr>
                <w:rFonts w:cs="Arial" w:ascii="Arial" w:hAnsi="Arial"/>
              </w:rPr>
              <w:t xml:space="preserve"> – landscape, heritage, biodiversity.</w:t>
            </w:r>
          </w:p>
          <w:p>
            <w:pPr>
              <w:pStyle w:val="NormalWeb"/>
              <w:numPr>
                <w:ilvl w:val="0"/>
                <w:numId w:val="13"/>
              </w:numPr>
              <w:tabs>
                <w:tab w:val="left" w:pos="720" w:leader="none"/>
              </w:tabs>
              <w:bidi w:val="0"/>
              <w:spacing w:before="0" w:after="0"/>
              <w:ind w:hanging="360" w:left="720" w:right="0"/>
              <w:rPr>
                <w:rFonts w:ascii="Arial" w:hAnsi="Arial" w:cs="Arial"/>
              </w:rPr>
            </w:pPr>
            <w:r>
              <w:rPr>
                <w:rStyle w:val="Strong"/>
                <w:rFonts w:cs="Arial" w:ascii="Arial" w:hAnsi="Arial"/>
                <w:lang w:val="en-GB" w:eastAsia="en-GB" w:bidi="ar-SA"/>
              </w:rPr>
              <w:t>ID policies</w:t>
            </w:r>
            <w:r>
              <w:rPr>
                <w:rFonts w:cs="Arial" w:ascii="Arial" w:hAnsi="Arial"/>
              </w:rPr>
              <w:t xml:space="preserve"> – infrastructure delivery, transport, schools, utilities.</w:t>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3. Test of Soundness – Not Justified</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3.1 Loss of Garden Village Identity</w:t>
            </w:r>
          </w:p>
          <w:p>
            <w:pPr>
              <w:pStyle w:val="NormalWeb"/>
              <w:bidi w:val="0"/>
              <w:spacing w:before="100" w:after="100"/>
              <w:rPr>
                <w:rFonts w:ascii="Arial" w:hAnsi="Arial" w:cs="Arial"/>
              </w:rPr>
            </w:pPr>
            <w:r>
              <w:rPr>
                <w:rFonts w:cs="Arial" w:ascii="Arial" w:hAnsi="Arial"/>
              </w:rPr>
              <w:t>The existing Garden Village permission was granted on the basis of:</w:t>
            </w:r>
          </w:p>
          <w:p>
            <w:pPr>
              <w:pStyle w:val="NormalWeb"/>
              <w:numPr>
                <w:ilvl w:val="0"/>
                <w:numId w:val="14"/>
              </w:numPr>
              <w:tabs>
                <w:tab w:val="left" w:pos="720" w:leader="none"/>
              </w:tabs>
              <w:bidi w:val="0"/>
              <w:spacing w:before="100" w:after="0"/>
              <w:ind w:hanging="360" w:left="720" w:right="0"/>
              <w:rPr/>
            </w:pPr>
            <w:r>
              <w:rPr>
                <w:rFonts w:cs="Arial" w:ascii="Arial" w:hAnsi="Arial"/>
              </w:rPr>
              <w:t xml:space="preserve">A </w:t>
            </w:r>
            <w:r>
              <w:rPr>
                <w:rStyle w:val="Strong"/>
                <w:rFonts w:cs="Arial" w:ascii="Arial" w:hAnsi="Arial"/>
                <w:b w:val="false"/>
                <w:lang w:val="en-GB" w:eastAsia="en-GB" w:bidi="ar-SA"/>
              </w:rPr>
              <w:t>stand-alone village scale settlement</w:t>
            </w:r>
          </w:p>
          <w:p>
            <w:pPr>
              <w:pStyle w:val="NormalWeb"/>
              <w:numPr>
                <w:ilvl w:val="0"/>
                <w:numId w:val="14"/>
              </w:numPr>
              <w:tabs>
                <w:tab w:val="left" w:pos="720" w:leader="none"/>
              </w:tabs>
              <w:bidi w:val="0"/>
              <w:spacing w:before="0" w:after="0"/>
              <w:ind w:hanging="360" w:left="720" w:right="0"/>
              <w:rPr/>
            </w:pPr>
            <w:r>
              <w:rPr>
                <w:rFonts w:cs="Arial" w:ascii="Arial" w:hAnsi="Arial"/>
              </w:rPr>
              <w:t xml:space="preserve">A </w:t>
            </w:r>
            <w:r>
              <w:rPr>
                <w:rStyle w:val="Strong"/>
                <w:rFonts w:cs="Arial" w:ascii="Arial" w:hAnsi="Arial"/>
                <w:b w:val="false"/>
                <w:lang w:val="en-GB" w:eastAsia="en-GB" w:bidi="ar-SA"/>
              </w:rPr>
              <w:t>distinct landscape</w:t>
              <w:noBreakHyphen/>
              <w:t>led identity</w:t>
            </w:r>
          </w:p>
          <w:p>
            <w:pPr>
              <w:pStyle w:val="NormalWeb"/>
              <w:numPr>
                <w:ilvl w:val="0"/>
                <w:numId w:val="14"/>
              </w:numPr>
              <w:tabs>
                <w:tab w:val="left" w:pos="720" w:leader="none"/>
              </w:tabs>
              <w:bidi w:val="0"/>
              <w:spacing w:before="0" w:after="0"/>
              <w:ind w:hanging="360" w:left="720" w:right="0"/>
              <w:rPr/>
            </w:pPr>
            <w:r>
              <w:rPr>
                <w:rStyle w:val="Strong"/>
                <w:rFonts w:cs="Arial" w:ascii="Arial" w:hAnsi="Arial"/>
                <w:b w:val="false"/>
                <w:lang w:val="en-GB" w:eastAsia="en-GB" w:bidi="ar-SA"/>
              </w:rPr>
              <w:t>Green buffers</w:t>
            </w:r>
            <w:r>
              <w:rPr>
                <w:rFonts w:cs="Arial" w:ascii="Arial" w:hAnsi="Arial"/>
              </w:rPr>
              <w:t xml:space="preserve"> clearly separating it from neighbouring communities</w:t>
            </w:r>
          </w:p>
          <w:p>
            <w:pPr>
              <w:pStyle w:val="NormalWeb"/>
              <w:numPr>
                <w:ilvl w:val="0"/>
                <w:numId w:val="14"/>
              </w:numPr>
              <w:tabs>
                <w:tab w:val="left" w:pos="720" w:leader="none"/>
              </w:tabs>
              <w:bidi w:val="0"/>
              <w:spacing w:before="0" w:after="0"/>
              <w:ind w:hanging="360" w:left="720" w:right="0"/>
              <w:rPr/>
            </w:pPr>
            <w:r>
              <w:rPr>
                <w:rFonts w:cs="Arial" w:ascii="Arial" w:hAnsi="Arial"/>
              </w:rPr>
              <w:t xml:space="preserve">A </w:t>
            </w:r>
            <w:r>
              <w:rPr>
                <w:rStyle w:val="Strong"/>
                <w:rFonts w:cs="Arial" w:ascii="Arial" w:hAnsi="Arial"/>
                <w:b w:val="false"/>
                <w:lang w:val="en-GB" w:eastAsia="en-GB" w:bidi="ar-SA"/>
              </w:rPr>
              <w:t>walkable layout</w:t>
            </w:r>
          </w:p>
          <w:p>
            <w:pPr>
              <w:pStyle w:val="NormalWeb"/>
              <w:numPr>
                <w:ilvl w:val="0"/>
                <w:numId w:val="14"/>
              </w:numPr>
              <w:tabs>
                <w:tab w:val="left" w:pos="720" w:leader="none"/>
              </w:tabs>
              <w:bidi w:val="0"/>
              <w:spacing w:before="0" w:after="100"/>
              <w:ind w:hanging="360" w:left="720" w:right="0"/>
              <w:rPr>
                <w:rFonts w:ascii="Arial" w:hAnsi="Arial" w:cs="Arial"/>
              </w:rPr>
            </w:pPr>
            <w:r>
              <w:rPr>
                <w:rFonts w:cs="Arial" w:ascii="Arial" w:hAnsi="Arial"/>
              </w:rPr>
              <w:t xml:space="preserve">A </w:t>
            </w:r>
            <w:r>
              <w:rPr>
                <w:rStyle w:val="Strong"/>
                <w:rFonts w:cs="Arial" w:ascii="Arial" w:hAnsi="Arial"/>
                <w:b w:val="false"/>
                <w:lang w:val="en-GB" w:eastAsia="en-GB" w:bidi="ar-SA"/>
              </w:rPr>
              <w:t>limited, controlled growth envelope</w:t>
            </w:r>
          </w:p>
          <w:p>
            <w:pPr>
              <w:pStyle w:val="NormalWeb"/>
              <w:bidi w:val="0"/>
              <w:spacing w:before="100" w:after="100"/>
              <w:rPr>
                <w:rFonts w:ascii="Arial" w:hAnsi="Arial" w:cs="Arial"/>
              </w:rPr>
            </w:pPr>
            <w:r>
              <w:rPr>
                <w:rFonts w:cs="Arial" w:ascii="Arial" w:hAnsi="Arial"/>
              </w:rPr>
              <w:t xml:space="preserve">Proposal LMA expands the site into a </w:t>
            </w:r>
            <w:r>
              <w:rPr>
                <w:rStyle w:val="Strong"/>
                <w:rFonts w:cs="Arial" w:ascii="Arial" w:hAnsi="Arial"/>
                <w:b w:val="false"/>
                <w:lang w:val="en-GB" w:eastAsia="en-GB" w:bidi="ar-SA"/>
              </w:rPr>
              <w:t>town</w:t>
              <w:noBreakHyphen/>
              <w:t>scale new community</w:t>
            </w:r>
            <w:r>
              <w:rPr>
                <w:rFonts w:cs="Arial" w:ascii="Arial" w:hAnsi="Arial"/>
              </w:rPr>
              <w:t>, fundamentally altering:</w:t>
            </w:r>
          </w:p>
          <w:p>
            <w:pPr>
              <w:pStyle w:val="NormalWeb"/>
              <w:numPr>
                <w:ilvl w:val="0"/>
                <w:numId w:val="4"/>
              </w:numPr>
              <w:tabs>
                <w:tab w:val="left" w:pos="720" w:leader="none"/>
              </w:tabs>
              <w:bidi w:val="0"/>
              <w:spacing w:before="100" w:after="0"/>
              <w:ind w:hanging="360" w:left="720" w:right="0"/>
              <w:rPr>
                <w:rFonts w:ascii="Arial" w:hAnsi="Arial" w:cs="Arial"/>
              </w:rPr>
            </w:pPr>
            <w:r>
              <w:rPr>
                <w:rFonts w:cs="Arial" w:ascii="Arial" w:hAnsi="Arial"/>
              </w:rPr>
              <w:t>Its scale</w:t>
            </w:r>
          </w:p>
          <w:p>
            <w:pPr>
              <w:pStyle w:val="NormalWeb"/>
              <w:numPr>
                <w:ilvl w:val="0"/>
                <w:numId w:val="4"/>
              </w:numPr>
              <w:tabs>
                <w:tab w:val="left" w:pos="720" w:leader="none"/>
              </w:tabs>
              <w:bidi w:val="0"/>
              <w:spacing w:before="0" w:after="0"/>
              <w:ind w:hanging="360" w:left="720" w:right="0"/>
              <w:rPr>
                <w:rFonts w:ascii="Arial" w:hAnsi="Arial" w:cs="Arial"/>
              </w:rPr>
            </w:pPr>
            <w:r>
              <w:rPr>
                <w:rFonts w:cs="Arial" w:ascii="Arial" w:hAnsi="Arial"/>
              </w:rPr>
              <w:t>Its density</w:t>
            </w:r>
          </w:p>
          <w:p>
            <w:pPr>
              <w:pStyle w:val="NormalWeb"/>
              <w:numPr>
                <w:ilvl w:val="0"/>
                <w:numId w:val="4"/>
              </w:numPr>
              <w:tabs>
                <w:tab w:val="left" w:pos="720" w:leader="none"/>
              </w:tabs>
              <w:bidi w:val="0"/>
              <w:spacing w:before="0" w:after="0"/>
              <w:ind w:hanging="360" w:left="720" w:right="0"/>
              <w:rPr>
                <w:rFonts w:ascii="Arial" w:hAnsi="Arial" w:cs="Arial"/>
              </w:rPr>
            </w:pPr>
            <w:r>
              <w:rPr>
                <w:rFonts w:cs="Arial" w:ascii="Arial" w:hAnsi="Arial"/>
              </w:rPr>
              <w:t>Its relationship with surrounding settlements</w:t>
            </w:r>
          </w:p>
          <w:p>
            <w:pPr>
              <w:pStyle w:val="NormalWeb"/>
              <w:numPr>
                <w:ilvl w:val="0"/>
                <w:numId w:val="4"/>
              </w:numPr>
              <w:tabs>
                <w:tab w:val="left" w:pos="720" w:leader="none"/>
              </w:tabs>
              <w:bidi w:val="0"/>
              <w:spacing w:before="0" w:after="0"/>
              <w:ind w:hanging="360" w:left="720" w:right="0"/>
              <w:rPr>
                <w:rFonts w:ascii="Arial" w:hAnsi="Arial" w:cs="Arial"/>
              </w:rPr>
            </w:pPr>
            <w:r>
              <w:rPr>
                <w:rFonts w:cs="Arial" w:ascii="Arial" w:hAnsi="Arial"/>
              </w:rPr>
              <w:t>Its landscape structure</w:t>
            </w:r>
          </w:p>
          <w:p>
            <w:pPr>
              <w:pStyle w:val="NormalWeb"/>
              <w:numPr>
                <w:ilvl w:val="0"/>
                <w:numId w:val="4"/>
              </w:numPr>
              <w:tabs>
                <w:tab w:val="left" w:pos="720" w:leader="none"/>
              </w:tabs>
              <w:bidi w:val="0"/>
              <w:spacing w:before="0" w:after="100"/>
              <w:ind w:hanging="360" w:left="720" w:right="0"/>
              <w:rPr>
                <w:rFonts w:ascii="Arial" w:hAnsi="Arial" w:cs="Arial"/>
              </w:rPr>
            </w:pPr>
            <w:r>
              <w:rPr>
                <w:rFonts w:cs="Arial" w:ascii="Arial" w:hAnsi="Arial"/>
              </w:rPr>
              <w:t>Its community identity</w:t>
            </w:r>
          </w:p>
          <w:p>
            <w:pPr>
              <w:pStyle w:val="NormalWeb"/>
              <w:bidi w:val="0"/>
              <w:spacing w:before="100" w:after="100"/>
              <w:rPr>
                <w:rFonts w:ascii="Arial" w:hAnsi="Arial" w:cs="Arial"/>
              </w:rPr>
            </w:pPr>
            <w:r>
              <w:rPr>
                <w:rFonts w:cs="Arial" w:ascii="Arial" w:hAnsi="Arial"/>
              </w:rPr>
              <w:t xml:space="preserve">The SWLP does not provide </w:t>
            </w:r>
            <w:r>
              <w:rPr>
                <w:rStyle w:val="Strong"/>
                <w:rFonts w:cs="Arial" w:ascii="Arial" w:hAnsi="Arial"/>
                <w:b w:val="false"/>
                <w:lang w:val="en-GB" w:eastAsia="en-GB" w:bidi="ar-SA"/>
              </w:rPr>
              <w:t>proportionate evidence</w:t>
            </w:r>
            <w:r>
              <w:rPr>
                <w:rFonts w:cs="Arial" w:ascii="Arial" w:hAnsi="Arial"/>
              </w:rPr>
              <w:t xml:space="preserve"> explaining why the Garden Village concept can be abandoned without undermining the original planning rationale.</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3.2 No justification for removing Garden Village buffers</w:t>
            </w:r>
          </w:p>
          <w:p>
            <w:pPr>
              <w:pStyle w:val="NormalWeb"/>
              <w:bidi w:val="0"/>
              <w:spacing w:before="100" w:after="100"/>
              <w:rPr>
                <w:rFonts w:ascii="Arial" w:hAnsi="Arial" w:cs="Arial"/>
              </w:rPr>
            </w:pPr>
            <w:r>
              <w:rPr>
                <w:rFonts w:cs="Arial" w:ascii="Arial" w:hAnsi="Arial"/>
              </w:rPr>
              <w:t xml:space="preserve">The approved Garden Village includes </w:t>
            </w:r>
            <w:r>
              <w:rPr>
                <w:rStyle w:val="Strong"/>
                <w:rFonts w:cs="Arial" w:ascii="Arial" w:hAnsi="Arial"/>
                <w:b w:val="false"/>
                <w:lang w:val="en-GB" w:eastAsia="en-GB" w:bidi="ar-SA"/>
              </w:rPr>
              <w:t>defined landscape buffers</w:t>
            </w:r>
            <w:r>
              <w:rPr>
                <w:rFonts w:cs="Arial" w:ascii="Arial" w:hAnsi="Arial"/>
              </w:rPr>
              <w:t xml:space="preserve"> protecting:</w:t>
            </w:r>
          </w:p>
          <w:p>
            <w:pPr>
              <w:pStyle w:val="NormalWeb"/>
              <w:numPr>
                <w:ilvl w:val="0"/>
                <w:numId w:val="5"/>
              </w:numPr>
              <w:tabs>
                <w:tab w:val="left" w:pos="720" w:leader="none"/>
              </w:tabs>
              <w:bidi w:val="0"/>
              <w:spacing w:before="100" w:after="0"/>
              <w:ind w:hanging="360" w:left="720" w:right="0"/>
              <w:rPr>
                <w:rFonts w:ascii="Arial" w:hAnsi="Arial" w:cs="Arial"/>
              </w:rPr>
            </w:pPr>
            <w:r>
              <w:rPr>
                <w:rFonts w:cs="Arial" w:ascii="Arial" w:hAnsi="Arial"/>
              </w:rPr>
              <w:t>Long Marston village</w:t>
            </w:r>
          </w:p>
          <w:p>
            <w:pPr>
              <w:pStyle w:val="NormalWeb"/>
              <w:numPr>
                <w:ilvl w:val="0"/>
                <w:numId w:val="5"/>
              </w:numPr>
              <w:tabs>
                <w:tab w:val="left" w:pos="720" w:leader="none"/>
              </w:tabs>
              <w:bidi w:val="0"/>
              <w:spacing w:before="0" w:after="0"/>
              <w:ind w:hanging="360" w:left="720" w:right="0"/>
              <w:rPr>
                <w:rFonts w:ascii="Arial" w:hAnsi="Arial" w:cs="Arial"/>
              </w:rPr>
            </w:pPr>
            <w:r>
              <w:rPr>
                <w:rFonts w:cs="Arial" w:ascii="Arial" w:hAnsi="Arial"/>
              </w:rPr>
              <w:t>Meon Vale</w:t>
            </w:r>
          </w:p>
          <w:p>
            <w:pPr>
              <w:pStyle w:val="NormalWeb"/>
              <w:numPr>
                <w:ilvl w:val="0"/>
                <w:numId w:val="5"/>
              </w:numPr>
              <w:tabs>
                <w:tab w:val="left" w:pos="720" w:leader="none"/>
              </w:tabs>
              <w:bidi w:val="0"/>
              <w:spacing w:before="0" w:after="100"/>
              <w:ind w:hanging="360" w:left="720" w:right="0"/>
              <w:rPr>
                <w:rFonts w:ascii="Arial" w:hAnsi="Arial" w:cs="Arial"/>
              </w:rPr>
            </w:pPr>
            <w:r>
              <w:rPr>
                <w:rFonts w:cs="Arial" w:ascii="Arial" w:hAnsi="Arial"/>
              </w:rPr>
              <w:t>Rural character to the west and south</w:t>
            </w:r>
          </w:p>
          <w:p>
            <w:pPr>
              <w:pStyle w:val="NormalWeb"/>
              <w:bidi w:val="0"/>
              <w:spacing w:before="100" w:after="100"/>
              <w:rPr>
                <w:rFonts w:ascii="Arial" w:hAnsi="Arial" w:cs="Arial"/>
              </w:rPr>
            </w:pPr>
            <w:r>
              <w:rPr>
                <w:rFonts w:cs="Arial" w:ascii="Arial" w:hAnsi="Arial"/>
              </w:rPr>
              <w:t xml:space="preserve">Proposal LMA does not define equivalent buffers (paras </w:t>
            </w:r>
            <w:r>
              <w:rPr>
                <w:rStyle w:val="Strong"/>
                <w:rFonts w:cs="Arial" w:ascii="Arial" w:hAnsi="Arial"/>
                <w:lang w:val="en-GB" w:eastAsia="en-GB" w:bidi="ar-SA"/>
              </w:rPr>
              <w:t>8.2.45–8.2.53</w:t>
            </w:r>
            <w:r>
              <w:rPr>
                <w:rFonts w:cs="Arial" w:ascii="Arial" w:hAnsi="Arial"/>
              </w:rPr>
              <w:t>), nor does it justify their removal.</w:t>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4. Test of Soundness – Not Effective</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4.1 Fragmentation of the Approved Masterplan</w:t>
            </w:r>
          </w:p>
          <w:p>
            <w:pPr>
              <w:pStyle w:val="NormalWeb"/>
              <w:bidi w:val="0"/>
              <w:spacing w:before="100" w:after="100"/>
              <w:rPr>
                <w:rFonts w:ascii="Arial" w:hAnsi="Arial" w:cs="Arial"/>
              </w:rPr>
            </w:pPr>
            <w:r>
              <w:rPr>
                <w:rFonts w:cs="Arial" w:ascii="Arial" w:hAnsi="Arial"/>
              </w:rPr>
              <w:t>The Garden Village permission includes:</w:t>
            </w:r>
          </w:p>
          <w:p>
            <w:pPr>
              <w:pStyle w:val="NormalWeb"/>
              <w:numPr>
                <w:ilvl w:val="0"/>
                <w:numId w:val="6"/>
              </w:numPr>
              <w:tabs>
                <w:tab w:val="left" w:pos="720" w:leader="none"/>
              </w:tabs>
              <w:bidi w:val="0"/>
              <w:spacing w:before="100" w:after="0"/>
              <w:ind w:hanging="360" w:left="720" w:right="0"/>
              <w:rPr>
                <w:rFonts w:ascii="Arial" w:hAnsi="Arial" w:cs="Arial"/>
              </w:rPr>
            </w:pPr>
            <w:r>
              <w:rPr>
                <w:rFonts w:cs="Arial" w:ascii="Arial" w:hAnsi="Arial"/>
              </w:rPr>
              <w:t xml:space="preserve">A </w:t>
            </w:r>
            <w:r>
              <w:rPr>
                <w:rStyle w:val="Strong"/>
                <w:rFonts w:cs="Arial" w:ascii="Arial" w:hAnsi="Arial"/>
                <w:b w:val="false"/>
                <w:lang w:val="en-GB" w:eastAsia="en-GB" w:bidi="ar-SA"/>
              </w:rPr>
              <w:t>coherent masterplan</w:t>
            </w:r>
          </w:p>
          <w:p>
            <w:pPr>
              <w:pStyle w:val="NormalWeb"/>
              <w:numPr>
                <w:ilvl w:val="0"/>
                <w:numId w:val="6"/>
              </w:numPr>
              <w:tabs>
                <w:tab w:val="left" w:pos="720" w:leader="none"/>
              </w:tabs>
              <w:bidi w:val="0"/>
              <w:spacing w:before="0" w:after="0"/>
              <w:ind w:hanging="360" w:left="720" w:right="0"/>
              <w:rPr>
                <w:rFonts w:ascii="Arial" w:hAnsi="Arial" w:cs="Arial"/>
              </w:rPr>
            </w:pPr>
            <w:r>
              <w:rPr>
                <w:rFonts w:cs="Arial" w:ascii="Arial" w:hAnsi="Arial"/>
              </w:rPr>
              <w:t>Phased delivery (Phase 1A, 1B, etc.)</w:t>
            </w:r>
          </w:p>
          <w:p>
            <w:pPr>
              <w:pStyle w:val="NormalWeb"/>
              <w:numPr>
                <w:ilvl w:val="0"/>
                <w:numId w:val="6"/>
              </w:numPr>
              <w:tabs>
                <w:tab w:val="left" w:pos="720" w:leader="none"/>
              </w:tabs>
              <w:bidi w:val="0"/>
              <w:spacing w:before="0" w:after="0"/>
              <w:ind w:hanging="360" w:left="720" w:right="0"/>
              <w:rPr>
                <w:rFonts w:ascii="Arial" w:hAnsi="Arial" w:cs="Arial"/>
              </w:rPr>
            </w:pPr>
            <w:r>
              <w:rPr>
                <w:rFonts w:cs="Arial" w:ascii="Arial" w:hAnsi="Arial"/>
              </w:rPr>
              <w:t>Infrastructure sequencing</w:t>
            </w:r>
          </w:p>
          <w:p>
            <w:pPr>
              <w:pStyle w:val="NormalWeb"/>
              <w:numPr>
                <w:ilvl w:val="0"/>
                <w:numId w:val="6"/>
              </w:numPr>
              <w:tabs>
                <w:tab w:val="left" w:pos="720" w:leader="none"/>
              </w:tabs>
              <w:bidi w:val="0"/>
              <w:spacing w:before="0" w:after="100"/>
              <w:ind w:hanging="360" w:left="720" w:right="0"/>
              <w:rPr>
                <w:rFonts w:ascii="Arial" w:hAnsi="Arial" w:cs="Arial"/>
              </w:rPr>
            </w:pPr>
            <w:r>
              <w:rPr>
                <w:rFonts w:cs="Arial" w:ascii="Arial" w:hAnsi="Arial"/>
              </w:rPr>
              <w:t>A design code</w:t>
            </w:r>
          </w:p>
          <w:p>
            <w:pPr>
              <w:pStyle w:val="NormalWeb"/>
              <w:bidi w:val="0"/>
              <w:spacing w:before="100" w:after="100"/>
              <w:rPr>
                <w:rFonts w:ascii="Arial" w:hAnsi="Arial" w:cs="Arial"/>
              </w:rPr>
            </w:pPr>
            <w:r>
              <w:rPr>
                <w:rFonts w:cs="Arial" w:ascii="Arial" w:hAnsi="Arial"/>
              </w:rPr>
              <w:t xml:space="preserve">Proposal LMA requires a </w:t>
            </w:r>
            <w:r>
              <w:rPr>
                <w:rStyle w:val="Strong"/>
                <w:rFonts w:cs="Arial" w:ascii="Arial" w:hAnsi="Arial"/>
                <w:b w:val="false"/>
                <w:lang w:val="en-GB" w:eastAsia="en-GB" w:bidi="ar-SA"/>
              </w:rPr>
              <w:t>new masterplan</w:t>
            </w:r>
            <w:r>
              <w:rPr>
                <w:rFonts w:cs="Arial" w:ascii="Arial" w:hAnsi="Arial"/>
              </w:rPr>
              <w:t xml:space="preserve"> (paras </w:t>
            </w:r>
            <w:r>
              <w:rPr>
                <w:rStyle w:val="Strong"/>
                <w:rFonts w:cs="Arial" w:ascii="Arial" w:hAnsi="Arial"/>
                <w:lang w:val="en-GB" w:eastAsia="en-GB" w:bidi="ar-SA"/>
              </w:rPr>
              <w:t>8.2.36–8.2.44</w:t>
            </w:r>
            <w:r>
              <w:rPr>
                <w:rFonts w:cs="Arial" w:ascii="Arial" w:hAnsi="Arial"/>
              </w:rPr>
              <w:t>) that:</w:t>
            </w:r>
          </w:p>
          <w:p>
            <w:pPr>
              <w:pStyle w:val="NormalWeb"/>
              <w:numPr>
                <w:ilvl w:val="0"/>
                <w:numId w:val="7"/>
              </w:numPr>
              <w:tabs>
                <w:tab w:val="left" w:pos="720" w:leader="none"/>
              </w:tabs>
              <w:bidi w:val="0"/>
              <w:spacing w:before="100" w:after="0"/>
              <w:ind w:hanging="360" w:left="720" w:right="0"/>
              <w:rPr>
                <w:rFonts w:ascii="Arial" w:hAnsi="Arial" w:cs="Arial"/>
              </w:rPr>
            </w:pPr>
            <w:r>
              <w:rPr>
                <w:rFonts w:cs="Arial" w:ascii="Arial" w:hAnsi="Arial"/>
              </w:rPr>
              <w:t>Overwrites the approved layout</w:t>
            </w:r>
          </w:p>
          <w:p>
            <w:pPr>
              <w:pStyle w:val="NormalWeb"/>
              <w:numPr>
                <w:ilvl w:val="0"/>
                <w:numId w:val="7"/>
              </w:numPr>
              <w:tabs>
                <w:tab w:val="left" w:pos="720" w:leader="none"/>
              </w:tabs>
              <w:bidi w:val="0"/>
              <w:spacing w:before="0" w:after="0"/>
              <w:ind w:hanging="360" w:left="720" w:right="0"/>
              <w:rPr>
                <w:rFonts w:ascii="Arial" w:hAnsi="Arial" w:cs="Arial"/>
              </w:rPr>
            </w:pPr>
            <w:r>
              <w:rPr>
                <w:rFonts w:cs="Arial" w:ascii="Arial" w:hAnsi="Arial"/>
              </w:rPr>
              <w:t>Introduces new road alignments</w:t>
            </w:r>
          </w:p>
          <w:p>
            <w:pPr>
              <w:pStyle w:val="NormalWeb"/>
              <w:numPr>
                <w:ilvl w:val="0"/>
                <w:numId w:val="7"/>
              </w:numPr>
              <w:tabs>
                <w:tab w:val="left" w:pos="720" w:leader="none"/>
              </w:tabs>
              <w:bidi w:val="0"/>
              <w:spacing w:before="0" w:after="0"/>
              <w:ind w:hanging="360" w:left="720" w:right="0"/>
              <w:rPr>
                <w:rFonts w:ascii="Arial" w:hAnsi="Arial" w:cs="Arial"/>
              </w:rPr>
            </w:pPr>
            <w:r>
              <w:rPr>
                <w:rFonts w:cs="Arial" w:ascii="Arial" w:hAnsi="Arial"/>
              </w:rPr>
              <w:t>Changes neighbourhood structure</w:t>
            </w:r>
          </w:p>
          <w:p>
            <w:pPr>
              <w:pStyle w:val="NormalWeb"/>
              <w:numPr>
                <w:ilvl w:val="0"/>
                <w:numId w:val="7"/>
              </w:numPr>
              <w:tabs>
                <w:tab w:val="left" w:pos="720" w:leader="none"/>
              </w:tabs>
              <w:bidi w:val="0"/>
              <w:spacing w:before="0" w:after="0"/>
              <w:ind w:hanging="360" w:left="720" w:right="0"/>
              <w:rPr>
                <w:rFonts w:ascii="Arial" w:hAnsi="Arial" w:cs="Arial"/>
              </w:rPr>
            </w:pPr>
            <w:r>
              <w:rPr>
                <w:rFonts w:cs="Arial" w:ascii="Arial" w:hAnsi="Arial"/>
              </w:rPr>
              <w:t>Alters green infrastructure corridors</w:t>
            </w:r>
          </w:p>
          <w:p>
            <w:pPr>
              <w:pStyle w:val="NormalWeb"/>
              <w:numPr>
                <w:ilvl w:val="0"/>
                <w:numId w:val="7"/>
              </w:numPr>
              <w:tabs>
                <w:tab w:val="left" w:pos="720" w:leader="none"/>
              </w:tabs>
              <w:bidi w:val="0"/>
              <w:spacing w:before="0" w:after="100"/>
              <w:ind w:hanging="360" w:left="720" w:right="0"/>
              <w:rPr>
                <w:rFonts w:ascii="Arial" w:hAnsi="Arial" w:cs="Arial"/>
              </w:rPr>
            </w:pPr>
            <w:r>
              <w:rPr>
                <w:rFonts w:cs="Arial" w:ascii="Arial" w:hAnsi="Arial"/>
              </w:rPr>
              <w:t>Repositions community facilities</w:t>
            </w:r>
          </w:p>
          <w:p>
            <w:pPr>
              <w:pStyle w:val="NormalWeb"/>
              <w:bidi w:val="0"/>
              <w:spacing w:before="100" w:after="100"/>
              <w:rPr>
                <w:rFonts w:ascii="Arial" w:hAnsi="Arial" w:cs="Arial"/>
              </w:rPr>
            </w:pPr>
            <w:r>
              <w:rPr>
                <w:rFonts w:cs="Arial" w:ascii="Arial" w:hAnsi="Arial"/>
              </w:rPr>
              <w:t xml:space="preserve">This creates </w:t>
            </w:r>
            <w:r>
              <w:rPr>
                <w:rStyle w:val="Strong"/>
                <w:rFonts w:cs="Arial" w:ascii="Arial" w:hAnsi="Arial"/>
                <w:b w:val="false"/>
                <w:lang w:val="en-GB" w:eastAsia="en-GB" w:bidi="ar-SA"/>
              </w:rPr>
              <w:t>conflict</w:t>
            </w:r>
            <w:r>
              <w:rPr>
                <w:rFonts w:cs="Arial" w:ascii="Arial" w:hAnsi="Arial"/>
              </w:rPr>
              <w:t xml:space="preserve"> between the approved Garden Village masterplan and the new LMA masterplan, undermining deliverability.</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4.2 Infrastructure assumptions incompatible with Garden Village phasing</w:t>
            </w:r>
          </w:p>
          <w:p>
            <w:pPr>
              <w:pStyle w:val="NormalWeb"/>
              <w:bidi w:val="0"/>
              <w:spacing w:before="100" w:after="100"/>
              <w:rPr>
                <w:rFonts w:ascii="Arial" w:hAnsi="Arial" w:cs="Arial"/>
              </w:rPr>
            </w:pPr>
            <w:r>
              <w:rPr>
                <w:rFonts w:cs="Arial" w:ascii="Arial" w:hAnsi="Arial"/>
              </w:rPr>
              <w:t>The Garden Village permission assumed:</w:t>
            </w:r>
          </w:p>
          <w:p>
            <w:pPr>
              <w:pStyle w:val="NormalWeb"/>
              <w:numPr>
                <w:ilvl w:val="0"/>
                <w:numId w:val="8"/>
              </w:numPr>
              <w:tabs>
                <w:tab w:val="left" w:pos="720" w:leader="none"/>
              </w:tabs>
              <w:bidi w:val="0"/>
              <w:spacing w:before="100" w:after="0"/>
              <w:ind w:hanging="360" w:left="720" w:right="0"/>
              <w:rPr>
                <w:rFonts w:ascii="Arial" w:hAnsi="Arial" w:cs="Arial"/>
              </w:rPr>
            </w:pPr>
            <w:r>
              <w:rPr>
                <w:rFonts w:cs="Arial" w:ascii="Arial" w:hAnsi="Arial"/>
              </w:rPr>
              <w:t xml:space="preserve">A </w:t>
            </w:r>
            <w:r>
              <w:rPr>
                <w:rStyle w:val="Strong"/>
                <w:rFonts w:cs="Arial" w:ascii="Arial" w:hAnsi="Arial"/>
                <w:b w:val="false"/>
                <w:lang w:val="en-GB" w:eastAsia="en-GB" w:bidi="ar-SA"/>
              </w:rPr>
              <w:t>village</w:t>
              <w:noBreakHyphen/>
              <w:t>scale school requirement</w:t>
            </w:r>
          </w:p>
          <w:p>
            <w:pPr>
              <w:pStyle w:val="NormalWeb"/>
              <w:numPr>
                <w:ilvl w:val="0"/>
                <w:numId w:val="8"/>
              </w:numPr>
              <w:tabs>
                <w:tab w:val="left" w:pos="720" w:leader="none"/>
              </w:tabs>
              <w:bidi w:val="0"/>
              <w:spacing w:before="0" w:after="0"/>
              <w:ind w:hanging="360" w:left="720" w:right="0"/>
              <w:rPr>
                <w:rFonts w:ascii="Arial" w:hAnsi="Arial" w:cs="Arial"/>
              </w:rPr>
            </w:pPr>
            <w:r>
              <w:rPr>
                <w:rFonts w:cs="Arial" w:ascii="Arial" w:hAnsi="Arial"/>
              </w:rPr>
              <w:t>Limited off</w:t>
              <w:noBreakHyphen/>
              <w:t>site transport impacts other than a South Stratford relief Road</w:t>
            </w:r>
          </w:p>
          <w:p>
            <w:pPr>
              <w:pStyle w:val="NormalWeb"/>
              <w:numPr>
                <w:ilvl w:val="0"/>
                <w:numId w:val="8"/>
              </w:numPr>
              <w:tabs>
                <w:tab w:val="left" w:pos="720" w:leader="none"/>
              </w:tabs>
              <w:bidi w:val="0"/>
              <w:spacing w:before="0" w:after="100"/>
              <w:ind w:hanging="360" w:left="720" w:right="0"/>
              <w:rPr>
                <w:rFonts w:ascii="Arial" w:hAnsi="Arial" w:cs="Arial"/>
              </w:rPr>
            </w:pPr>
            <w:r>
              <w:rPr>
                <w:rFonts w:cs="Arial" w:ascii="Arial" w:hAnsi="Arial"/>
              </w:rPr>
              <w:t>Modest utilities upgrades</w:t>
            </w:r>
          </w:p>
          <w:p>
            <w:pPr>
              <w:pStyle w:val="NormalWeb"/>
              <w:bidi w:val="0"/>
              <w:spacing w:before="100" w:after="100"/>
              <w:rPr>
                <w:rFonts w:ascii="Arial" w:hAnsi="Arial" w:cs="Arial"/>
              </w:rPr>
            </w:pPr>
            <w:r>
              <w:rPr>
                <w:rFonts w:cs="Arial" w:ascii="Arial" w:hAnsi="Arial"/>
              </w:rPr>
              <w:t>Proposal LMA assumes:</w:t>
            </w:r>
          </w:p>
          <w:p>
            <w:pPr>
              <w:pStyle w:val="NormalWeb"/>
              <w:numPr>
                <w:ilvl w:val="0"/>
                <w:numId w:val="9"/>
              </w:numPr>
              <w:tabs>
                <w:tab w:val="left" w:pos="720" w:leader="none"/>
              </w:tabs>
              <w:bidi w:val="0"/>
              <w:spacing w:before="100" w:after="0"/>
              <w:ind w:hanging="360" w:left="720" w:right="0"/>
              <w:rPr>
                <w:rFonts w:ascii="Arial" w:hAnsi="Arial" w:cs="Arial"/>
                <w:b/>
              </w:rPr>
            </w:pPr>
            <w:r>
              <w:rPr>
                <w:rStyle w:val="Strong"/>
                <w:rFonts w:cs="Arial" w:ascii="Arial" w:hAnsi="Arial"/>
                <w:b w:val="false"/>
                <w:lang w:val="en-GB" w:eastAsia="en-GB" w:bidi="ar-SA"/>
              </w:rPr>
              <w:t>Town</w:t>
              <w:noBreakHyphen/>
              <w:t>scale school provision</w:t>
            </w:r>
          </w:p>
          <w:p>
            <w:pPr>
              <w:pStyle w:val="NormalWeb"/>
              <w:numPr>
                <w:ilvl w:val="0"/>
                <w:numId w:val="9"/>
              </w:numPr>
              <w:tabs>
                <w:tab w:val="left" w:pos="720" w:leader="none"/>
              </w:tabs>
              <w:bidi w:val="0"/>
              <w:spacing w:before="0" w:after="0"/>
              <w:ind w:hanging="360" w:left="720" w:right="0"/>
              <w:rPr>
                <w:rFonts w:ascii="Arial" w:hAnsi="Arial" w:cs="Arial"/>
              </w:rPr>
            </w:pPr>
            <w:r>
              <w:rPr>
                <w:rFonts w:cs="Arial" w:ascii="Arial" w:hAnsi="Arial"/>
              </w:rPr>
              <w:t xml:space="preserve">Major strategic transport interventions (paras </w:t>
            </w:r>
            <w:r>
              <w:rPr>
                <w:rStyle w:val="Strong"/>
                <w:rFonts w:cs="Arial" w:ascii="Arial" w:hAnsi="Arial"/>
                <w:lang w:val="en-GB" w:eastAsia="en-GB" w:bidi="ar-SA"/>
              </w:rPr>
              <w:t>8.2.28–8.2.35</w:t>
            </w:r>
            <w:r>
              <w:rPr>
                <w:rFonts w:cs="Arial" w:ascii="Arial" w:hAnsi="Arial"/>
              </w:rPr>
              <w:t>)</w:t>
            </w:r>
          </w:p>
          <w:p>
            <w:pPr>
              <w:pStyle w:val="NormalWeb"/>
              <w:numPr>
                <w:ilvl w:val="0"/>
                <w:numId w:val="9"/>
              </w:numPr>
              <w:tabs>
                <w:tab w:val="left" w:pos="720" w:leader="none"/>
              </w:tabs>
              <w:bidi w:val="0"/>
              <w:spacing w:before="0" w:after="100"/>
              <w:ind w:hanging="360" w:left="720" w:right="0"/>
              <w:rPr>
                <w:rFonts w:ascii="Arial" w:hAnsi="Arial" w:cs="Arial"/>
              </w:rPr>
            </w:pPr>
            <w:r>
              <w:rPr>
                <w:rFonts w:cs="Arial" w:ascii="Arial" w:hAnsi="Arial"/>
              </w:rPr>
              <w:t xml:space="preserve">Significant wastewater upgrades (paras </w:t>
            </w:r>
            <w:r>
              <w:rPr>
                <w:rStyle w:val="Strong"/>
                <w:rFonts w:cs="Arial" w:ascii="Arial" w:hAnsi="Arial"/>
                <w:lang w:val="en-GB" w:eastAsia="en-GB" w:bidi="ar-SA"/>
              </w:rPr>
              <w:t>8.2.54–8.2.61</w:t>
            </w:r>
            <w:r>
              <w:rPr>
                <w:rFonts w:cs="Arial" w:ascii="Arial" w:hAnsi="Arial"/>
              </w:rPr>
              <w:t>)</w:t>
            </w:r>
          </w:p>
          <w:p>
            <w:pPr>
              <w:pStyle w:val="NormalWeb"/>
              <w:bidi w:val="0"/>
              <w:spacing w:before="100" w:after="100"/>
              <w:rPr>
                <w:rFonts w:ascii="Arial" w:hAnsi="Arial" w:cs="Arial"/>
              </w:rPr>
            </w:pPr>
            <w:r>
              <w:rPr>
                <w:rFonts w:cs="Arial" w:ascii="Arial" w:hAnsi="Arial"/>
              </w:rPr>
              <w:t xml:space="preserve">These requirements were </w:t>
            </w:r>
            <w:r>
              <w:rPr>
                <w:rStyle w:val="Strong"/>
                <w:rFonts w:cs="Arial" w:ascii="Arial" w:hAnsi="Arial"/>
                <w:b w:val="false"/>
                <w:lang w:val="en-GB" w:eastAsia="en-GB" w:bidi="ar-SA"/>
              </w:rPr>
              <w:t>not</w:t>
            </w:r>
            <w:r>
              <w:rPr>
                <w:rFonts w:cs="Arial" w:ascii="Arial" w:hAnsi="Arial"/>
              </w:rPr>
              <w:t xml:space="preserve"> part of the Garden Village evidence base, creating uncertainty and undermining effective delivery.</w:t>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5. Test of Soundness – Not Consistent with National Policy</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5.1 NPPF requirements for maintaining settlement identity</w:t>
            </w:r>
          </w:p>
          <w:p>
            <w:pPr>
              <w:pStyle w:val="NormalWeb"/>
              <w:bidi w:val="0"/>
              <w:spacing w:before="100" w:after="100"/>
              <w:rPr>
                <w:rFonts w:ascii="Arial" w:hAnsi="Arial" w:cs="Arial"/>
              </w:rPr>
            </w:pPr>
            <w:r>
              <w:rPr>
                <w:rFonts w:cs="Arial" w:ascii="Arial" w:hAnsi="Arial"/>
              </w:rPr>
              <w:t>The NPPF requires:</w:t>
            </w:r>
          </w:p>
          <w:p>
            <w:pPr>
              <w:pStyle w:val="NormalWeb"/>
              <w:numPr>
                <w:ilvl w:val="0"/>
                <w:numId w:val="10"/>
              </w:numPr>
              <w:tabs>
                <w:tab w:val="left" w:pos="720" w:leader="none"/>
              </w:tabs>
              <w:bidi w:val="0"/>
              <w:spacing w:before="100" w:after="0"/>
              <w:ind w:hanging="360" w:left="720" w:right="0"/>
              <w:rPr>
                <w:rFonts w:ascii="Arial" w:hAnsi="Arial" w:cs="Arial"/>
              </w:rPr>
            </w:pPr>
            <w:r>
              <w:rPr>
                <w:rFonts w:cs="Arial" w:ascii="Arial" w:hAnsi="Arial"/>
              </w:rPr>
              <w:t>Protection of settlement identity</w:t>
            </w:r>
          </w:p>
          <w:p>
            <w:pPr>
              <w:pStyle w:val="NormalWeb"/>
              <w:numPr>
                <w:ilvl w:val="0"/>
                <w:numId w:val="10"/>
              </w:numPr>
              <w:tabs>
                <w:tab w:val="left" w:pos="720" w:leader="none"/>
              </w:tabs>
              <w:bidi w:val="0"/>
              <w:spacing w:before="0" w:after="0"/>
              <w:ind w:hanging="360" w:left="720" w:right="0"/>
              <w:rPr>
                <w:rFonts w:ascii="Arial" w:hAnsi="Arial" w:cs="Arial"/>
              </w:rPr>
            </w:pPr>
            <w:r>
              <w:rPr>
                <w:rFonts w:cs="Arial" w:ascii="Arial" w:hAnsi="Arial"/>
              </w:rPr>
              <w:t>Avoidance of coalescence</w:t>
            </w:r>
          </w:p>
          <w:p>
            <w:pPr>
              <w:pStyle w:val="NormalWeb"/>
              <w:numPr>
                <w:ilvl w:val="0"/>
                <w:numId w:val="10"/>
              </w:numPr>
              <w:tabs>
                <w:tab w:val="left" w:pos="720" w:leader="none"/>
              </w:tabs>
              <w:bidi w:val="0"/>
              <w:spacing w:before="0" w:after="0"/>
              <w:ind w:hanging="360" w:left="720" w:right="0"/>
              <w:rPr>
                <w:rFonts w:ascii="Arial" w:hAnsi="Arial" w:cs="Arial"/>
              </w:rPr>
            </w:pPr>
            <w:r>
              <w:rPr>
                <w:rFonts w:cs="Arial" w:ascii="Arial" w:hAnsi="Arial"/>
              </w:rPr>
              <w:t>Respect for local character</w:t>
            </w:r>
          </w:p>
          <w:p>
            <w:pPr>
              <w:pStyle w:val="NormalWeb"/>
              <w:numPr>
                <w:ilvl w:val="0"/>
                <w:numId w:val="10"/>
              </w:numPr>
              <w:tabs>
                <w:tab w:val="left" w:pos="720" w:leader="none"/>
              </w:tabs>
              <w:bidi w:val="0"/>
              <w:spacing w:before="0" w:after="100"/>
              <w:ind w:hanging="360" w:left="720" w:right="0"/>
              <w:rPr>
                <w:rFonts w:ascii="Arial" w:hAnsi="Arial" w:cs="Arial"/>
              </w:rPr>
            </w:pPr>
            <w:r>
              <w:rPr>
                <w:rFonts w:cs="Arial" w:ascii="Arial" w:hAnsi="Arial"/>
              </w:rPr>
              <w:t>Landscape</w:t>
              <w:noBreakHyphen/>
              <w:t>led design</w:t>
            </w:r>
          </w:p>
          <w:p>
            <w:pPr>
              <w:pStyle w:val="NormalWeb"/>
              <w:bidi w:val="0"/>
              <w:spacing w:before="100" w:after="100"/>
              <w:rPr>
                <w:rFonts w:ascii="Arial" w:hAnsi="Arial" w:cs="Arial"/>
              </w:rPr>
            </w:pPr>
            <w:r>
              <w:rPr>
                <w:rFonts w:cs="Arial" w:ascii="Arial" w:hAnsi="Arial"/>
              </w:rPr>
              <w:t>Proposal LMA:</w:t>
            </w:r>
          </w:p>
          <w:p>
            <w:pPr>
              <w:pStyle w:val="NormalWeb"/>
              <w:numPr>
                <w:ilvl w:val="0"/>
                <w:numId w:val="11"/>
              </w:numPr>
              <w:tabs>
                <w:tab w:val="left" w:pos="720" w:leader="none"/>
              </w:tabs>
              <w:bidi w:val="0"/>
              <w:spacing w:before="100" w:after="0"/>
              <w:ind w:hanging="360" w:left="720" w:right="0"/>
              <w:rPr>
                <w:rFonts w:ascii="Arial" w:hAnsi="Arial" w:cs="Arial"/>
              </w:rPr>
            </w:pPr>
            <w:r>
              <w:rPr>
                <w:rFonts w:cs="Arial" w:ascii="Arial" w:hAnsi="Arial"/>
              </w:rPr>
              <w:t>Specifically absorbs the Garden Village into a much larger settlement</w:t>
            </w:r>
          </w:p>
          <w:p>
            <w:pPr>
              <w:pStyle w:val="NormalWeb"/>
              <w:numPr>
                <w:ilvl w:val="0"/>
                <w:numId w:val="11"/>
              </w:numPr>
              <w:tabs>
                <w:tab w:val="left" w:pos="720" w:leader="none"/>
              </w:tabs>
              <w:bidi w:val="0"/>
              <w:spacing w:before="0" w:after="0"/>
              <w:ind w:hanging="360" w:left="720" w:right="0"/>
              <w:rPr>
                <w:rFonts w:ascii="Arial" w:hAnsi="Arial" w:cs="Arial"/>
              </w:rPr>
            </w:pPr>
            <w:r>
              <w:rPr>
                <w:rFonts w:cs="Arial" w:ascii="Arial" w:hAnsi="Arial"/>
              </w:rPr>
              <w:t>Removes or weakens buffers</w:t>
            </w:r>
          </w:p>
          <w:p>
            <w:pPr>
              <w:pStyle w:val="NormalWeb"/>
              <w:numPr>
                <w:ilvl w:val="0"/>
                <w:numId w:val="11"/>
              </w:numPr>
              <w:tabs>
                <w:tab w:val="left" w:pos="720" w:leader="none"/>
              </w:tabs>
              <w:bidi w:val="0"/>
              <w:spacing w:before="0" w:after="0"/>
              <w:ind w:hanging="360" w:left="720" w:right="0"/>
              <w:rPr>
                <w:rFonts w:ascii="Arial" w:hAnsi="Arial" w:cs="Arial"/>
              </w:rPr>
            </w:pPr>
            <w:r>
              <w:rPr>
                <w:rFonts w:cs="Arial" w:ascii="Arial" w:hAnsi="Arial"/>
              </w:rPr>
              <w:t>Creates functional coalescence with Meon Vale</w:t>
            </w:r>
          </w:p>
          <w:p>
            <w:pPr>
              <w:pStyle w:val="NormalWeb"/>
              <w:numPr>
                <w:ilvl w:val="0"/>
                <w:numId w:val="11"/>
              </w:numPr>
              <w:tabs>
                <w:tab w:val="left" w:pos="720" w:leader="none"/>
              </w:tabs>
              <w:bidi w:val="0"/>
              <w:spacing w:before="0" w:after="100"/>
              <w:ind w:hanging="360" w:left="720" w:right="0"/>
              <w:rPr>
                <w:rFonts w:ascii="Arial" w:hAnsi="Arial" w:cs="Arial"/>
              </w:rPr>
            </w:pPr>
            <w:r>
              <w:rPr>
                <w:rFonts w:cs="Arial" w:ascii="Arial" w:hAnsi="Arial"/>
              </w:rPr>
              <w:t>Introduces densities inconsistent with Garden Village principles</w:t>
            </w:r>
          </w:p>
          <w:p>
            <w:pPr>
              <w:pStyle w:val="NormalWeb"/>
              <w:bidi w:val="0"/>
              <w:spacing w:before="100" w:after="100"/>
              <w:rPr>
                <w:rFonts w:ascii="Arial" w:hAnsi="Arial" w:cs="Arial"/>
              </w:rPr>
            </w:pPr>
            <w:r>
              <w:rPr>
                <w:rFonts w:cs="Arial" w:ascii="Arial" w:hAnsi="Arial"/>
              </w:rPr>
              <w:t>This conflicts with NPPF para 127 (character), para 174 (landscape), and para 185 (amenity).</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5.2 NPPF requirements for justified spatial strategy</w:t>
            </w:r>
          </w:p>
          <w:p>
            <w:pPr>
              <w:pStyle w:val="NormalWeb"/>
              <w:bidi w:val="0"/>
              <w:spacing w:before="100" w:after="100"/>
              <w:rPr>
                <w:rFonts w:ascii="Arial" w:hAnsi="Arial" w:cs="Arial"/>
              </w:rPr>
            </w:pPr>
            <w:r>
              <w:rPr>
                <w:rFonts w:cs="Arial" w:ascii="Arial" w:hAnsi="Arial"/>
              </w:rPr>
              <w:t>The SWLP does not explain:</w:t>
            </w:r>
          </w:p>
          <w:p>
            <w:pPr>
              <w:pStyle w:val="NormalWeb"/>
              <w:numPr>
                <w:ilvl w:val="0"/>
                <w:numId w:val="12"/>
              </w:numPr>
              <w:tabs>
                <w:tab w:val="left" w:pos="720" w:leader="none"/>
              </w:tabs>
              <w:bidi w:val="0"/>
              <w:spacing w:before="100" w:after="0"/>
              <w:ind w:hanging="360" w:left="720" w:right="0"/>
              <w:rPr>
                <w:rFonts w:ascii="Arial" w:hAnsi="Arial" w:cs="Arial"/>
              </w:rPr>
            </w:pPr>
            <w:r>
              <w:rPr>
                <w:rFonts w:cs="Arial" w:ascii="Arial" w:hAnsi="Arial"/>
              </w:rPr>
              <w:t>Why the Garden Village concept is no longer appropriate</w:t>
            </w:r>
          </w:p>
          <w:p>
            <w:pPr>
              <w:pStyle w:val="NormalWeb"/>
              <w:numPr>
                <w:ilvl w:val="0"/>
                <w:numId w:val="12"/>
              </w:numPr>
              <w:tabs>
                <w:tab w:val="left" w:pos="720" w:leader="none"/>
              </w:tabs>
              <w:bidi w:val="0"/>
              <w:spacing w:before="0" w:after="0"/>
              <w:ind w:hanging="360" w:left="720" w:right="0"/>
              <w:rPr>
                <w:rFonts w:ascii="Arial" w:hAnsi="Arial" w:cs="Arial"/>
              </w:rPr>
            </w:pPr>
            <w:r>
              <w:rPr>
                <w:rFonts w:cs="Arial" w:ascii="Arial" w:hAnsi="Arial"/>
              </w:rPr>
              <w:t>Why a town</w:t>
              <w:noBreakHyphen/>
              <w:t>scale settlement is preferable</w:t>
            </w:r>
          </w:p>
          <w:p>
            <w:pPr>
              <w:pStyle w:val="NormalWeb"/>
              <w:numPr>
                <w:ilvl w:val="0"/>
                <w:numId w:val="12"/>
              </w:numPr>
              <w:tabs>
                <w:tab w:val="left" w:pos="720" w:leader="none"/>
              </w:tabs>
              <w:bidi w:val="0"/>
              <w:spacing w:before="0" w:after="100"/>
              <w:ind w:hanging="360" w:left="720" w:right="0"/>
              <w:rPr>
                <w:rFonts w:ascii="Arial" w:hAnsi="Arial" w:cs="Arial"/>
              </w:rPr>
            </w:pPr>
            <w:r>
              <w:rPr>
                <w:rFonts w:cs="Arial" w:ascii="Arial" w:hAnsi="Arial"/>
              </w:rPr>
              <w:t>How the change aligns with NPPF spatial strategy principles</w:t>
            </w:r>
          </w:p>
          <w:p>
            <w:pPr>
              <w:pStyle w:val="NormalWeb"/>
              <w:bidi w:val="0"/>
              <w:spacing w:before="100" w:after="100"/>
              <w:rPr>
                <w:rFonts w:ascii="Arial" w:hAnsi="Arial" w:cs="Arial"/>
              </w:rPr>
            </w:pPr>
            <w:r>
              <w:rPr>
                <w:rFonts w:cs="Arial" w:ascii="Arial" w:hAnsi="Arial"/>
              </w:rPr>
              <w:t>This renders the proposal inconsistent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6. Requested Modifications</w:t>
            </w:r>
          </w:p>
          <w:p>
            <w:pPr>
              <w:pStyle w:val="NormalWeb"/>
              <w:bidi w:val="0"/>
              <w:spacing w:before="100" w:after="100"/>
              <w:rPr>
                <w:rFonts w:ascii="Arial" w:hAnsi="Arial" w:cs="Arial"/>
              </w:rPr>
            </w:pPr>
            <w:r>
              <w:rPr>
                <w:rFonts w:cs="Arial" w:ascii="Arial" w:hAnsi="Arial"/>
              </w:rPr>
              <w:t>To make Proposal LMA sound, the following modifications are required:</w:t>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Modification 1 – Reinstate and protect Garden Village Identity</w:t>
            </w:r>
          </w:p>
          <w:p>
            <w:pPr>
              <w:pStyle w:val="NormalWeb"/>
              <w:bidi w:val="0"/>
              <w:spacing w:before="100" w:after="100"/>
              <w:rPr>
                <w:rFonts w:ascii="Arial" w:hAnsi="Arial" w:cs="Arial"/>
              </w:rPr>
            </w:pPr>
            <w:r>
              <w:rPr>
                <w:rFonts w:cs="Arial" w:ascii="Arial" w:hAnsi="Arial"/>
              </w:rPr>
              <w:t>If the concept of a Garden Village is the be maintained the plan should  include explicit policy wording requiring:</w:t>
            </w:r>
          </w:p>
          <w:p>
            <w:pPr>
              <w:pStyle w:val="NormalWeb"/>
              <w:numPr>
                <w:ilvl w:val="0"/>
                <w:numId w:val="15"/>
              </w:numPr>
              <w:tabs>
                <w:tab w:val="left" w:pos="720" w:leader="none"/>
              </w:tabs>
              <w:bidi w:val="0"/>
              <w:spacing w:before="100" w:after="0"/>
              <w:ind w:hanging="360" w:left="720" w:right="0"/>
              <w:rPr/>
            </w:pPr>
            <w:r>
              <w:rPr>
                <w:rFonts w:cs="Arial" w:ascii="Arial" w:hAnsi="Arial"/>
              </w:rPr>
              <w:t xml:space="preserve">A </w:t>
            </w:r>
            <w:r>
              <w:rPr>
                <w:rStyle w:val="Strong"/>
                <w:rFonts w:cs="Arial" w:ascii="Arial" w:hAnsi="Arial"/>
                <w:b w:val="false"/>
                <w:lang w:val="en-GB" w:eastAsia="en-GB" w:bidi="ar-SA"/>
              </w:rPr>
              <w:t>village</w:t>
              <w:noBreakHyphen/>
              <w:t>scale core</w:t>
            </w:r>
          </w:p>
          <w:p>
            <w:pPr>
              <w:pStyle w:val="NormalWeb"/>
              <w:numPr>
                <w:ilvl w:val="0"/>
                <w:numId w:val="15"/>
              </w:numPr>
              <w:tabs>
                <w:tab w:val="left" w:pos="720" w:leader="none"/>
              </w:tabs>
              <w:bidi w:val="0"/>
              <w:spacing w:before="0" w:after="0"/>
              <w:ind w:hanging="360" w:left="720" w:right="0"/>
              <w:rPr>
                <w:rFonts w:ascii="Arial" w:hAnsi="Arial" w:cs="Arial"/>
              </w:rPr>
            </w:pPr>
            <w:r>
              <w:rPr>
                <w:rFonts w:cs="Arial" w:ascii="Arial" w:hAnsi="Arial"/>
              </w:rPr>
              <w:t>Distinct neighbourhoods</w:t>
            </w:r>
          </w:p>
          <w:p>
            <w:pPr>
              <w:pStyle w:val="NormalWeb"/>
              <w:numPr>
                <w:ilvl w:val="0"/>
                <w:numId w:val="15"/>
              </w:numPr>
              <w:tabs>
                <w:tab w:val="left" w:pos="720" w:leader="none"/>
              </w:tabs>
              <w:bidi w:val="0"/>
              <w:spacing w:before="0" w:after="0"/>
              <w:ind w:hanging="360" w:left="720" w:right="0"/>
              <w:rPr>
                <w:rFonts w:ascii="Arial" w:hAnsi="Arial" w:cs="Arial"/>
              </w:rPr>
            </w:pPr>
            <w:r>
              <w:rPr>
                <w:rFonts w:cs="Arial" w:ascii="Arial" w:hAnsi="Arial"/>
              </w:rPr>
              <w:t>Human</w:t>
              <w:noBreakHyphen/>
              <w:t>scale design</w:t>
            </w:r>
          </w:p>
          <w:p>
            <w:pPr>
              <w:pStyle w:val="NormalWeb"/>
              <w:numPr>
                <w:ilvl w:val="0"/>
                <w:numId w:val="15"/>
              </w:numPr>
              <w:tabs>
                <w:tab w:val="left" w:pos="720" w:leader="none"/>
              </w:tabs>
              <w:bidi w:val="0"/>
              <w:spacing w:before="0" w:after="100"/>
              <w:ind w:hanging="360" w:left="720" w:right="0"/>
              <w:rPr>
                <w:rFonts w:ascii="Arial" w:hAnsi="Arial" w:cs="Arial"/>
              </w:rPr>
            </w:pPr>
            <w:r>
              <w:rPr>
                <w:rFonts w:cs="Arial" w:ascii="Arial" w:hAnsi="Arial"/>
              </w:rPr>
              <w:t>Retention of Garden Village principles</w:t>
            </w:r>
          </w:p>
          <w:p>
            <w:pPr>
              <w:pStyle w:val="NormalWeb"/>
              <w:bidi w:val="0"/>
              <w:spacing w:before="100" w:after="100"/>
              <w:rPr>
                <w:rFonts w:ascii="Arial" w:hAnsi="Arial" w:cs="Arial"/>
              </w:rPr>
            </w:pPr>
            <w:r>
              <w:rPr>
                <w:rFonts w:cs="Arial" w:ascii="Arial" w:hAnsi="Arial"/>
              </w:rPr>
              <w:t>It should also require spatially defined buffers between:</w:t>
            </w:r>
          </w:p>
          <w:p>
            <w:pPr>
              <w:pStyle w:val="NormalWeb"/>
              <w:numPr>
                <w:ilvl w:val="0"/>
                <w:numId w:val="16"/>
              </w:numPr>
              <w:tabs>
                <w:tab w:val="left" w:pos="720" w:leader="none"/>
              </w:tabs>
              <w:bidi w:val="0"/>
              <w:spacing w:before="100" w:after="0"/>
              <w:ind w:hanging="360" w:left="720" w:right="0"/>
              <w:rPr>
                <w:rFonts w:ascii="Arial" w:hAnsi="Arial" w:cs="Arial"/>
              </w:rPr>
            </w:pPr>
            <w:r>
              <w:rPr>
                <w:rFonts w:cs="Arial" w:ascii="Arial" w:hAnsi="Arial"/>
              </w:rPr>
              <w:t>Long Marston village</w:t>
            </w:r>
          </w:p>
          <w:p>
            <w:pPr>
              <w:pStyle w:val="NormalWeb"/>
              <w:numPr>
                <w:ilvl w:val="0"/>
                <w:numId w:val="16"/>
              </w:numPr>
              <w:tabs>
                <w:tab w:val="left" w:pos="720" w:leader="none"/>
              </w:tabs>
              <w:bidi w:val="0"/>
              <w:spacing w:before="0" w:after="0"/>
              <w:ind w:hanging="360" w:left="720" w:right="0"/>
              <w:rPr>
                <w:rFonts w:ascii="Arial" w:hAnsi="Arial" w:cs="Arial"/>
              </w:rPr>
            </w:pPr>
            <w:r>
              <w:rPr>
                <w:rFonts w:cs="Arial" w:ascii="Arial" w:hAnsi="Arial"/>
              </w:rPr>
              <w:t>Meon Vale</w:t>
            </w:r>
          </w:p>
          <w:p>
            <w:pPr>
              <w:pStyle w:val="NormalWeb"/>
              <w:numPr>
                <w:ilvl w:val="0"/>
                <w:numId w:val="16"/>
              </w:numPr>
              <w:tabs>
                <w:tab w:val="left" w:pos="720" w:leader="none"/>
              </w:tabs>
              <w:bidi w:val="0"/>
              <w:spacing w:before="0" w:after="0"/>
              <w:ind w:hanging="360" w:left="720" w:right="0"/>
              <w:rPr>
                <w:rFonts w:ascii="Arial" w:hAnsi="Arial" w:cs="Arial"/>
              </w:rPr>
            </w:pPr>
            <w:r>
              <w:rPr>
                <w:rFonts w:cs="Arial" w:ascii="Arial" w:hAnsi="Arial"/>
              </w:rPr>
              <w:t>The proposed new settlement</w:t>
            </w:r>
          </w:p>
          <w:p>
            <w:pPr>
              <w:pStyle w:val="NormalWeb"/>
              <w:numPr>
                <w:ilvl w:val="0"/>
                <w:numId w:val="16"/>
              </w:numPr>
              <w:tabs>
                <w:tab w:val="left" w:pos="720" w:leader="none"/>
              </w:tabs>
              <w:bidi w:val="0"/>
              <w:spacing w:before="0" w:after="0"/>
              <w:ind w:hanging="360" w:left="720" w:right="0"/>
              <w:rPr>
                <w:rFonts w:ascii="Arial" w:hAnsi="Arial" w:cs="Arial"/>
              </w:rPr>
            </w:pPr>
            <w:r>
              <w:rPr>
                <w:rFonts w:cs="Arial" w:ascii="Arial" w:hAnsi="Arial"/>
              </w:rPr>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Modification 2 – Require Integration with the Approved Masterplan</w:t>
            </w:r>
          </w:p>
          <w:p>
            <w:pPr>
              <w:pStyle w:val="NormalWeb"/>
              <w:bidi w:val="0"/>
              <w:spacing w:before="100" w:after="100"/>
              <w:rPr>
                <w:rFonts w:ascii="Arial" w:hAnsi="Arial" w:cs="Arial"/>
              </w:rPr>
            </w:pPr>
            <w:r>
              <w:rPr>
                <w:rFonts w:cs="Arial" w:ascii="Arial" w:hAnsi="Arial"/>
              </w:rPr>
              <w:t>Policy wording must require:</w:t>
            </w:r>
          </w:p>
          <w:p>
            <w:pPr>
              <w:pStyle w:val="NormalWeb"/>
              <w:numPr>
                <w:ilvl w:val="0"/>
                <w:numId w:val="4"/>
              </w:numPr>
              <w:tabs>
                <w:tab w:val="left" w:pos="720" w:leader="none"/>
              </w:tabs>
              <w:bidi w:val="0"/>
              <w:spacing w:before="100" w:after="0"/>
              <w:ind w:hanging="360" w:left="720" w:right="0"/>
              <w:rPr>
                <w:rFonts w:ascii="Arial" w:hAnsi="Arial" w:cs="Arial"/>
              </w:rPr>
            </w:pPr>
            <w:r>
              <w:rPr>
                <w:rFonts w:cs="Arial" w:ascii="Arial" w:hAnsi="Arial"/>
              </w:rPr>
              <w:t>Full integration with Phase 1A/1B</w:t>
            </w:r>
          </w:p>
          <w:p>
            <w:pPr>
              <w:pStyle w:val="NormalWeb"/>
              <w:numPr>
                <w:ilvl w:val="0"/>
                <w:numId w:val="4"/>
              </w:numPr>
              <w:tabs>
                <w:tab w:val="left" w:pos="720" w:leader="none"/>
              </w:tabs>
              <w:bidi w:val="0"/>
              <w:spacing w:before="0" w:after="0"/>
              <w:ind w:hanging="360" w:left="720" w:right="0"/>
              <w:rPr>
                <w:rFonts w:ascii="Arial" w:hAnsi="Arial" w:cs="Arial"/>
              </w:rPr>
            </w:pPr>
            <w:r>
              <w:rPr>
                <w:rFonts w:cs="Arial" w:ascii="Arial" w:hAnsi="Arial"/>
              </w:rPr>
              <w:t>Respect for approved road alignments</w:t>
            </w:r>
          </w:p>
          <w:p>
            <w:pPr>
              <w:pStyle w:val="NormalWeb"/>
              <w:numPr>
                <w:ilvl w:val="0"/>
                <w:numId w:val="4"/>
              </w:numPr>
              <w:tabs>
                <w:tab w:val="left" w:pos="720" w:leader="none"/>
              </w:tabs>
              <w:bidi w:val="0"/>
              <w:spacing w:before="0" w:after="0"/>
              <w:ind w:hanging="360" w:left="720" w:right="0"/>
              <w:rPr>
                <w:rFonts w:ascii="Arial" w:hAnsi="Arial" w:cs="Arial"/>
              </w:rPr>
            </w:pPr>
            <w:r>
              <w:rPr>
                <w:rFonts w:cs="Arial" w:ascii="Arial" w:hAnsi="Arial"/>
              </w:rPr>
              <w:t>Continuity of green infrastructure corridors</w:t>
            </w:r>
          </w:p>
          <w:p>
            <w:pPr>
              <w:pStyle w:val="NormalWeb"/>
              <w:numPr>
                <w:ilvl w:val="0"/>
                <w:numId w:val="4"/>
              </w:numPr>
              <w:tabs>
                <w:tab w:val="left" w:pos="720" w:leader="none"/>
              </w:tabs>
              <w:bidi w:val="0"/>
              <w:spacing w:before="0" w:after="100"/>
              <w:ind w:hanging="360" w:left="720" w:right="0"/>
              <w:rPr>
                <w:rFonts w:ascii="Arial" w:hAnsi="Arial" w:cs="Arial"/>
              </w:rPr>
            </w:pPr>
            <w:r>
              <w:rPr>
                <w:rFonts w:cs="Arial" w:ascii="Arial" w:hAnsi="Arial"/>
              </w:rPr>
              <w:t>Alignment of phasing and infrastructure triggers</w:t>
            </w:r>
          </w:p>
          <w:p>
            <w:pPr>
              <w:pStyle w:val="NormalWeb"/>
              <w:bidi w:val="0"/>
              <w:spacing w:before="100" w:after="100"/>
              <w:ind w:hanging="0" w:left="360" w:right="0"/>
              <w:rPr>
                <w:rFonts w:ascii="Arial" w:hAnsi="Arial" w:cs="Arial"/>
              </w:rPr>
            </w:pPr>
            <w:r>
              <w:rPr>
                <w:rFonts w:cs="Arial" w:ascii="Arial" w:hAnsi="Arial"/>
              </w:rPr>
            </w:r>
          </w:p>
          <w:p>
            <w:pPr>
              <w:pStyle w:val="Heading3"/>
              <w:numPr>
                <w:ilvl w:val="2"/>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Modification 3 – Provide Justification for Change of Settlement Type</w:t>
            </w:r>
          </w:p>
          <w:p>
            <w:pPr>
              <w:pStyle w:val="NormalWeb"/>
              <w:bidi w:val="0"/>
              <w:spacing w:before="100" w:after="100"/>
              <w:rPr>
                <w:rFonts w:ascii="Arial" w:hAnsi="Arial" w:cs="Arial"/>
              </w:rPr>
            </w:pPr>
            <w:r>
              <w:rPr>
                <w:rFonts w:cs="Arial" w:ascii="Arial" w:hAnsi="Arial"/>
              </w:rPr>
              <w:t>If the concept of a Garden Village is being abandoned the plan must explain:</w:t>
            </w:r>
          </w:p>
          <w:p>
            <w:pPr>
              <w:pStyle w:val="NormalWeb"/>
              <w:numPr>
                <w:ilvl w:val="0"/>
                <w:numId w:val="5"/>
              </w:numPr>
              <w:tabs>
                <w:tab w:val="left" w:pos="720" w:leader="none"/>
              </w:tabs>
              <w:bidi w:val="0"/>
              <w:spacing w:before="100" w:after="0"/>
              <w:ind w:hanging="360" w:left="720" w:right="0"/>
              <w:rPr>
                <w:rFonts w:ascii="Arial" w:hAnsi="Arial" w:cs="Arial"/>
              </w:rPr>
            </w:pPr>
            <w:r>
              <w:rPr>
                <w:rFonts w:cs="Arial" w:ascii="Arial" w:hAnsi="Arial"/>
              </w:rPr>
              <w:t>Why Garden Village principles are being abandoned</w:t>
            </w:r>
          </w:p>
          <w:p>
            <w:pPr>
              <w:pStyle w:val="NormalWeb"/>
              <w:numPr>
                <w:ilvl w:val="0"/>
                <w:numId w:val="5"/>
              </w:numPr>
              <w:tabs>
                <w:tab w:val="left" w:pos="720" w:leader="none"/>
              </w:tabs>
              <w:bidi w:val="0"/>
              <w:spacing w:before="0" w:after="0"/>
              <w:ind w:hanging="360" w:left="720" w:right="0"/>
              <w:rPr>
                <w:rFonts w:ascii="Arial" w:hAnsi="Arial" w:cs="Arial"/>
              </w:rPr>
            </w:pPr>
            <w:r>
              <w:rPr>
                <w:rFonts w:cs="Arial" w:ascii="Arial" w:hAnsi="Arial"/>
              </w:rPr>
              <w:t>Why a town</w:t>
              <w:noBreakHyphen/>
              <w:t>scale settlement is appropriate</w:t>
            </w:r>
          </w:p>
          <w:p>
            <w:pPr>
              <w:pStyle w:val="NormalWeb"/>
              <w:numPr>
                <w:ilvl w:val="0"/>
                <w:numId w:val="5"/>
              </w:numPr>
              <w:tabs>
                <w:tab w:val="left" w:pos="720" w:leader="none"/>
              </w:tabs>
              <w:bidi w:val="0"/>
              <w:spacing w:before="0" w:after="0"/>
              <w:ind w:hanging="360" w:left="720" w:right="0"/>
              <w:rPr>
                <w:rFonts w:ascii="Arial" w:hAnsi="Arial" w:cs="Arial"/>
              </w:rPr>
            </w:pPr>
            <w:r>
              <w:rPr>
                <w:rFonts w:cs="Arial" w:ascii="Arial" w:hAnsi="Arial"/>
              </w:rPr>
              <w:t>How this aligns with NPPF requirements</w:t>
            </w:r>
          </w:p>
          <w:p>
            <w:pPr>
              <w:pStyle w:val="NormalWeb"/>
              <w:numPr>
                <w:ilvl w:val="0"/>
                <w:numId w:val="5"/>
              </w:numPr>
              <w:tabs>
                <w:tab w:val="left" w:pos="720" w:leader="none"/>
              </w:tabs>
              <w:bidi w:val="0"/>
              <w:spacing w:before="0" w:after="0"/>
              <w:ind w:hanging="360" w:left="720" w:right="0"/>
              <w:rPr>
                <w:rFonts w:ascii="Arial" w:hAnsi="Arial" w:cs="Arial"/>
              </w:rPr>
            </w:pPr>
            <w:r>
              <w:rPr>
                <w:rFonts w:cs="Arial" w:ascii="Arial" w:hAnsi="Arial"/>
              </w:rPr>
            </w:r>
          </w:p>
          <w:p>
            <w:pPr>
              <w:pStyle w:val="Heading2"/>
              <w:numPr>
                <w:ilvl w:val="1"/>
                <w:numId w:val="2"/>
              </w:numPr>
              <w:bidi w:val="0"/>
              <w:spacing w:before="100" w:after="100"/>
              <w:ind w:hanging="0" w:left="0"/>
              <w:rPr>
                <w:rFonts w:ascii="Arial" w:hAnsi="Arial" w:cs="Arial"/>
              </w:rPr>
            </w:pPr>
            <w:r>
              <w:rPr>
                <w:rStyle w:val="Strong"/>
                <w:rFonts w:cs="Arial" w:ascii="Arial" w:hAnsi="Arial"/>
                <w:b w:val="false"/>
                <w:bCs w:val="false"/>
                <w:lang w:val="en-GB" w:eastAsia="en-GB" w:bidi="ar-SA"/>
              </w:rPr>
              <w:t>7. Conclusion</w:t>
            </w:r>
          </w:p>
          <w:p>
            <w:pPr>
              <w:pStyle w:val="NormalWeb"/>
              <w:bidi w:val="0"/>
              <w:spacing w:before="100" w:after="100"/>
              <w:rPr>
                <w:rFonts w:ascii="Arial" w:hAnsi="Arial" w:cs="Arial"/>
              </w:rPr>
            </w:pPr>
            <w:r>
              <w:rPr>
                <w:rFonts w:cs="Arial" w:ascii="Arial" w:hAnsi="Arial"/>
              </w:rPr>
              <w:t xml:space="preserve">Proposal LMA </w:t>
            </w:r>
            <w:r>
              <w:rPr>
                <w:rStyle w:val="Strong"/>
                <w:rFonts w:cs="Arial" w:ascii="Arial" w:hAnsi="Arial"/>
                <w:b w:val="false"/>
                <w:lang w:val="en-GB" w:eastAsia="en-GB" w:bidi="ar-SA"/>
              </w:rPr>
              <w:t>fails the tests of soundness</w:t>
            </w:r>
            <w:r>
              <w:rPr>
                <w:rFonts w:cs="Arial" w:ascii="Arial" w:hAnsi="Arial"/>
              </w:rPr>
              <w:t xml:space="preserve"> because it:</w:t>
            </w:r>
          </w:p>
          <w:p>
            <w:pPr>
              <w:pStyle w:val="NormalWeb"/>
              <w:numPr>
                <w:ilvl w:val="0"/>
                <w:numId w:val="6"/>
              </w:numPr>
              <w:tabs>
                <w:tab w:val="left" w:pos="720" w:leader="none"/>
              </w:tabs>
              <w:bidi w:val="0"/>
              <w:spacing w:before="100" w:after="0"/>
              <w:ind w:hanging="360" w:left="720" w:right="0"/>
              <w:rPr>
                <w:rFonts w:ascii="Arial" w:hAnsi="Arial" w:cs="Arial"/>
              </w:rPr>
            </w:pPr>
            <w:r>
              <w:rPr>
                <w:rFonts w:cs="Arial" w:ascii="Arial" w:hAnsi="Arial"/>
              </w:rPr>
              <w:t>Undermines the established Garden Village principles</w:t>
            </w:r>
          </w:p>
          <w:p>
            <w:pPr>
              <w:pStyle w:val="NormalWeb"/>
              <w:numPr>
                <w:ilvl w:val="0"/>
                <w:numId w:val="6"/>
              </w:numPr>
              <w:tabs>
                <w:tab w:val="left" w:pos="720" w:leader="none"/>
              </w:tabs>
              <w:bidi w:val="0"/>
              <w:spacing w:before="0" w:after="0"/>
              <w:ind w:hanging="360" w:left="720" w:right="0"/>
              <w:rPr>
                <w:rFonts w:ascii="Arial" w:hAnsi="Arial" w:cs="Arial"/>
              </w:rPr>
            </w:pPr>
            <w:r>
              <w:rPr>
                <w:rFonts w:cs="Arial" w:ascii="Arial" w:hAnsi="Arial"/>
              </w:rPr>
              <w:t>Conflicts with the already approved masterplan</w:t>
            </w:r>
          </w:p>
          <w:p>
            <w:pPr>
              <w:pStyle w:val="NormalWeb"/>
              <w:numPr>
                <w:ilvl w:val="0"/>
                <w:numId w:val="6"/>
              </w:numPr>
              <w:tabs>
                <w:tab w:val="left" w:pos="720" w:leader="none"/>
              </w:tabs>
              <w:bidi w:val="0"/>
              <w:spacing w:before="0" w:after="0"/>
              <w:ind w:hanging="360" w:left="720" w:right="0"/>
              <w:rPr>
                <w:rFonts w:ascii="Arial" w:hAnsi="Arial" w:cs="Arial"/>
              </w:rPr>
            </w:pPr>
            <w:r>
              <w:rPr>
                <w:rFonts w:cs="Arial" w:ascii="Arial" w:hAnsi="Arial"/>
              </w:rPr>
              <w:t>Lacks justification for a fundamental change in settlement type</w:t>
            </w:r>
          </w:p>
          <w:p>
            <w:pPr>
              <w:pStyle w:val="NormalWeb"/>
              <w:numPr>
                <w:ilvl w:val="0"/>
                <w:numId w:val="6"/>
              </w:numPr>
              <w:tabs>
                <w:tab w:val="left" w:pos="720" w:leader="none"/>
              </w:tabs>
              <w:bidi w:val="0"/>
              <w:spacing w:before="0" w:after="0"/>
              <w:ind w:hanging="360" w:left="720" w:right="0"/>
              <w:rPr>
                <w:rFonts w:ascii="Arial" w:hAnsi="Arial" w:cs="Arial"/>
              </w:rPr>
            </w:pPr>
            <w:r>
              <w:rPr>
                <w:rFonts w:cs="Arial" w:ascii="Arial" w:hAnsi="Arial"/>
              </w:rPr>
              <w:t>Creates inconsistencies with NPPF requirements</w:t>
            </w:r>
          </w:p>
          <w:p>
            <w:pPr>
              <w:pStyle w:val="NormalWeb"/>
              <w:numPr>
                <w:ilvl w:val="0"/>
                <w:numId w:val="6"/>
              </w:numPr>
              <w:tabs>
                <w:tab w:val="left" w:pos="720" w:leader="none"/>
              </w:tabs>
              <w:bidi w:val="0"/>
              <w:spacing w:before="0" w:after="100"/>
              <w:ind w:hanging="360" w:left="720" w:right="0"/>
              <w:rPr>
                <w:rFonts w:ascii="Arial" w:hAnsi="Arial" w:cs="Arial"/>
              </w:rPr>
            </w:pPr>
            <w:r>
              <w:rPr>
                <w:rFonts w:cs="Arial" w:ascii="Arial" w:hAnsi="Arial"/>
              </w:rPr>
              <w:t>Fails to provide effective, deliverable phasing and infrastructure alignment</w:t>
            </w:r>
          </w:p>
          <w:p>
            <w:pPr>
              <w:pStyle w:val="NormalWeb"/>
              <w:bidi w:val="0"/>
              <w:spacing w:before="100" w:after="100"/>
              <w:rPr>
                <w:rFonts w:ascii="Times New Roman" w:hAnsi="Times New Roman"/>
              </w:rPr>
            </w:pPr>
            <w:r>
              <w:rPr>
                <w:rFonts w:cs="Arial" w:ascii="Arial" w:hAnsi="Arial"/>
              </w:rPr>
              <w:t xml:space="preserve">The requested modifications are necessary to ensure the proposal is </w:t>
            </w:r>
            <w:r>
              <w:rPr>
                <w:rStyle w:val="Strong"/>
                <w:rFonts w:cs="Arial" w:ascii="Arial" w:hAnsi="Arial"/>
                <w:b w:val="false"/>
                <w:lang w:val="en-GB" w:eastAsia="en-GB" w:bidi="ar-SA"/>
              </w:rPr>
              <w:t>sound, justified, effective, and consistent with national policy</w:t>
            </w:r>
            <w:r>
              <w:rPr>
                <w:rFonts w:cs="Arial" w:ascii="Arial" w:hAnsi="Arial"/>
                <w:b/>
              </w:rPr>
              <w: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2">
    <w:name w:val="heading 2"/>
    <w:basedOn w:val="Heading"/>
    <w:next w:val="BodyText"/>
    <w:qFormat/>
    <w:pPr>
      <w:numPr>
        <w:ilvl w:val="1"/>
        <w:numId w:val="2"/>
      </w:numPr>
      <w:spacing w:before="200" w:after="120"/>
      <w:outlineLvl w:val="1"/>
    </w:pPr>
    <w:rPr>
      <w:b/>
      <w:bCs/>
      <w:sz w:val="32"/>
      <w:szCs w:val="32"/>
    </w:rPr>
  </w:style>
  <w:style w:type="paragraph" w:styleId="Heading3">
    <w:name w:val="heading 3"/>
    <w:basedOn w:val="Heading"/>
    <w:next w:val="BodyText"/>
    <w:qFormat/>
    <w:pPr>
      <w:numPr>
        <w:ilvl w:val="2"/>
        <w:numId w:val="2"/>
      </w:numPr>
      <w:spacing w:before="140" w:after="120"/>
      <w:outlineLvl w:val="2"/>
    </w:pPr>
    <w:rPr>
      <w:b/>
      <w:bCs/>
      <w:sz w:val="28"/>
      <w:szCs w:val="28"/>
    </w:rPr>
  </w:style>
  <w:style w:type="character" w:styleId="DefaultParagraphFont">
    <w:name w:val="Default Paragraph Font"/>
    <w:qFormat/>
    <w:rPr/>
  </w:style>
  <w:style w:type="character" w:styleId="BodyTextChar">
    <w:name w:val="Body Text Char"/>
    <w:basedOn w:val="DefaultParagraphFont"/>
    <w:qFormat/>
    <w:rPr>
      <w:rFonts w:ascii="Verdana" w:hAnsi="Verdana" w:eastAsia="Times New Roman" w:cs="Times New Roman"/>
      <w:szCs w:val="20"/>
      <w:lang w:eastAsia="en-GB"/>
    </w:rPr>
  </w:style>
  <w:style w:type="character" w:styleId="CommentReference">
    <w:name w:val="annotation reference"/>
    <w:basedOn w:val="DefaultParagraphFont"/>
    <w:qFormat/>
    <w:rPr>
      <w:sz w:val="16"/>
      <w:szCs w:val="16"/>
    </w:rPr>
  </w:style>
  <w:style w:type="character" w:styleId="CommentTextChar">
    <w:name w:val="Comment Text Char"/>
    <w:basedOn w:val="DefaultParagraphFont"/>
    <w:link w:val="CommentText"/>
    <w:qFormat/>
    <w:rPr>
      <w:rFonts w:ascii="Times New Roman" w:hAnsi="Times New Roman" w:eastAsia="Times New Roman" w:cs="Times New Roman"/>
      <w:sz w:val="20"/>
      <w:szCs w:val="20"/>
      <w:lang w:eastAsia="en-GB"/>
    </w:rPr>
  </w:style>
  <w:style w:type="character" w:styleId="CommentSubjectChar">
    <w:name w:val="Comment Subject Char"/>
    <w:basedOn w:val="CommentTextChar"/>
    <w:link w:val="annotationsubject"/>
    <w:qFormat/>
    <w:rPr>
      <w:rFonts w:ascii="Times New Roman" w:hAnsi="Times New Roman" w:eastAsia="Times New Roman" w:cs="Times New Roman"/>
      <w:b/>
      <w:bCs/>
      <w:sz w:val="20"/>
      <w:szCs w:val="20"/>
      <w:lang w:eastAsia="en-GB"/>
    </w:rPr>
  </w:style>
  <w:style w:type="character" w:styleId="Hyperlink">
    <w:name w:val="Hyperlink"/>
    <w:basedOn w:val="DefaultParagraphFont"/>
    <w:rPr>
      <w:color w:themeColor="hyperlink" w:val="0563C1"/>
      <w:u w:val="single"/>
    </w:rPr>
  </w:style>
  <w:style w:type="character" w:styleId="HeaderChar">
    <w:name w:val="Header Char"/>
    <w:basedOn w:val="DefaultParagraphFont"/>
    <w:link w:val="Header"/>
    <w:qFormat/>
    <w:rPr>
      <w:rFonts w:ascii="Times New Roman" w:hAnsi="Times New Roman" w:eastAsia="Times New Roman" w:cs="Times New Roman"/>
      <w:sz w:val="24"/>
      <w:szCs w:val="24"/>
      <w:lang w:eastAsia="en-GB"/>
    </w:rPr>
  </w:style>
  <w:style w:type="character" w:styleId="FooterChar">
    <w:name w:val="Footer Char"/>
    <w:basedOn w:val="DefaultParagraphFont"/>
    <w:link w:val="Footer"/>
    <w:qFormat/>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pPr/>
    <w:rPr>
      <w:sz w:val="20"/>
      <w:szCs w:val="20"/>
    </w:rPr>
  </w:style>
  <w:style w:type="paragraph" w:styleId="annotationsubject">
    <w:name w:val="annotation subject"/>
    <w:basedOn w:val="CommentText"/>
    <w:next w:val="CommentText"/>
    <w:link w:val="CommentSubjectChar"/>
    <w:qFormat/>
    <w:pPr/>
    <w:rPr>
      <w:b/>
      <w:bCs/>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pPr>
    <w:rPr/>
  </w:style>
  <w:style w:type="paragraph" w:styleId="Footer">
    <w:name w:val="footer"/>
    <w:basedOn w:val="Normal"/>
    <w:link w:val="FooterChar"/>
    <w:pPr>
      <w:tabs>
        <w:tab w:val="clear" w:pos="720"/>
        <w:tab w:val="center" w:pos="4513" w:leader="none"/>
        <w:tab w:val="right" w:pos="9026" w:leader="none"/>
      </w:tabs>
    </w:pPr>
    <w:rPr/>
  </w:style>
  <w:style w:type="paragraph" w:styleId="NormalWeb">
    <w:name w:val="Normal (Web)"/>
    <w:basedOn w:val="Normal"/>
    <w:qFormat/>
    <w:pPr>
      <w:widowControl/>
      <w:spacing w:before="280" w:after="280"/>
      <w:ind w:hanging="0" w:left="0" w:right="0"/>
      <w:jc w:val="left"/>
      <w:textAlignment w:val="auto"/>
    </w:pPr>
    <w:rPr>
      <w:rFonts w:cs="Times New Roman"/>
      <w:sz w:val="24"/>
      <w:szCs w:val="24"/>
      <w:lang w:val="en-GB" w:eastAsia="en-GB" w:bidi="ar-SA"/>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LibreOffice/26.2.5.2$Windows_X86_64 LibreOffice_project/cd7284b4cbbfeb507e630c1aac019f4157393acb</Application>
  <AppVersion>15.0000</AppVersion>
  <Pages>8</Pages>
  <Words>1720</Words>
  <Characters>9781</Characters>
  <CharactersWithSpaces>11272</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2026-08-28T22:33:53Z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